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
        <w:tblW w:w="10401" w:type="dxa"/>
        <w:jc w:val="center"/>
        <w:tblLayout w:type="fixed"/>
        <w:tblLook w:val="0000" w:firstRow="0" w:lastRow="0" w:firstColumn="0" w:lastColumn="0" w:noHBand="0" w:noVBand="0"/>
      </w:tblPr>
      <w:tblGrid>
        <w:gridCol w:w="3681"/>
        <w:gridCol w:w="6720"/>
      </w:tblGrid>
      <w:tr w:rsidR="00064174">
        <w:trPr>
          <w:trHeight w:val="1368"/>
          <w:jc w:val="center"/>
        </w:trPr>
        <w:tc>
          <w:tcPr>
            <w:tcW w:w="3681" w:type="dxa"/>
            <w:shd w:val="clear" w:color="auto" w:fill="FFFFFF"/>
          </w:tcPr>
          <w:p w:rsidR="00064174" w:rsidRDefault="00966D7D">
            <w:pPr>
              <w:keepNext/>
              <w:spacing w:before="0"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BỘ TƯ PHÁP</w:t>
            </w:r>
          </w:p>
          <w:p w:rsidR="00064174" w:rsidRDefault="00966D7D">
            <w:pPr>
              <w:keepNext/>
              <w:spacing w:before="0" w:after="0" w:line="240" w:lineRule="auto"/>
              <w:jc w:val="center"/>
              <w:rPr>
                <w:rFonts w:ascii="Times New Roman" w:eastAsia="Times New Roman" w:hAnsi="Times New Roman" w:cs="Times New Roman"/>
                <w:sz w:val="28"/>
                <w:szCs w:val="28"/>
              </w:rPr>
            </w:pPr>
            <w:r>
              <w:rPr>
                <w:noProof/>
                <w:lang w:val="en-US"/>
              </w:rPr>
              <mc:AlternateContent>
                <mc:Choice Requires="wps">
                  <w:drawing>
                    <wp:anchor distT="0" distB="0" distL="114300" distR="114300" simplePos="0" relativeHeight="251666432" behindDoc="0" locked="0" layoutInCell="1" allowOverlap="1">
                      <wp:simplePos x="0" y="0"/>
                      <wp:positionH relativeFrom="column">
                        <wp:posOffset>610870</wp:posOffset>
                      </wp:positionH>
                      <wp:positionV relativeFrom="paragraph">
                        <wp:posOffset>50165</wp:posOffset>
                      </wp:positionV>
                      <wp:extent cx="914400" cy="0"/>
                      <wp:effectExtent l="0" t="0" r="19050" b="19050"/>
                      <wp:wrapNone/>
                      <wp:docPr id="1" name="Straight Connector 1"/>
                      <wp:cNvGraphicFramePr/>
                      <a:graphic xmlns:a="http://schemas.openxmlformats.org/drawingml/2006/main">
                        <a:graphicData uri="http://schemas.microsoft.com/office/word/2010/wordprocessingShape">
                          <wps:wsp>
                            <wps:cNvCnPr/>
                            <wps:spPr>
                              <a:xfrm>
                                <a:off x="0" y="0"/>
                                <a:ext cx="9144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BAD6930" id="Straight Connector 1"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48.1pt,3.95pt" to="120.1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" strokecolor="black [3200]" strokeweight=".5pt">
                      <v:stroke joinstyle="miter"/>
                    </v:line>
                  </w:pict>
                </mc:Fallback>
              </mc:AlternateContent>
            </w:r>
            <w:r>
              <w:rPr>
                <w:noProof/>
                <w:lang w:val="en-US"/>
              </w:rPr>
              <mc:AlternateContent>
                <mc:Choice Requires="wps">
                  <w:drawing>
                    <wp:anchor distT="4294967292" distB="4294967292" distL="114300" distR="114300" simplePos="0" relativeHeight="251658240" behindDoc="0" locked="0" layoutInCell="1" hidden="0" allowOverlap="1">
                      <wp:simplePos x="0" y="0"/>
                      <wp:positionH relativeFrom="column">
                        <wp:posOffset>867410</wp:posOffset>
                      </wp:positionH>
                      <wp:positionV relativeFrom="paragraph">
                        <wp:posOffset>641</wp:posOffset>
                      </wp:positionV>
                      <wp:extent cx="0" cy="12700"/>
                      <wp:effectExtent l="0" t="0" r="0" b="0"/>
                      <wp:wrapNone/>
                      <wp:docPr id="28" name=""/>
                      <wp:cNvGraphicFramePr/>
                      <a:graphic xmlns:a="http://schemas.openxmlformats.org/drawingml/2006/main">
                        <a:graphicData uri="http://schemas.microsoft.com/office/word/2010/wordprocessingShape">
                          <wps:wsp>
                            <wps:cNvCnPr/>
                            <wps:spPr>
                              <a:xfrm>
                                <a:off x="5138355" y="3780000"/>
                                <a:ext cx="41529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294967292" distT="4294967292" distL="114300" distR="114300" hidden="0" layoutInCell="1" locked="0" relativeHeight="0" simplePos="0">
                      <wp:simplePos x="0" y="0"/>
                      <wp:positionH relativeFrom="column">
                        <wp:posOffset>867410</wp:posOffset>
                      </wp:positionH>
                      <wp:positionV relativeFrom="paragraph">
                        <wp:posOffset>641</wp:posOffset>
                      </wp:positionV>
                      <wp:extent cx="0" cy="12700"/>
                      <wp:effectExtent b="0" l="0" r="0" t="0"/>
                      <wp:wrapNone/>
                      <wp:docPr id="28"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r>
              <w:rPr>
                <w:noProof/>
                <w:lang w:val="en-US"/>
              </w:rPr>
              <mc:AlternateContent>
                <mc:Choice Requires="wps">
                  <w:drawing>
                    <wp:anchor distT="0" distB="0" distL="114300" distR="114300" simplePos="0" relativeHeight="251659264" behindDoc="0" locked="0" layoutInCell="1" hidden="0" allowOverlap="1">
                      <wp:simplePos x="0" y="0"/>
                      <wp:positionH relativeFrom="column">
                        <wp:posOffset>604519</wp:posOffset>
                      </wp:positionH>
                      <wp:positionV relativeFrom="paragraph">
                        <wp:posOffset>36830</wp:posOffset>
                      </wp:positionV>
                      <wp:extent cx="0" cy="12700"/>
                      <wp:effectExtent l="0" t="0" r="0" b="0"/>
                      <wp:wrapNone/>
                      <wp:docPr id="33" name=""/>
                      <wp:cNvGraphicFramePr/>
                      <a:graphic xmlns:a="http://schemas.openxmlformats.org/drawingml/2006/main">
                        <a:graphicData uri="http://schemas.microsoft.com/office/word/2010/wordprocessingShape">
                          <wps:wsp>
                            <wps:cNvCnPr/>
                            <wps:spPr>
                              <a:xfrm>
                                <a:off x="4864988" y="3780000"/>
                                <a:ext cx="962025" cy="0"/>
                              </a:xfrm>
                              <a:prstGeom prst="straightConnector1">
                                <a:avLst/>
                              </a:prstGeom>
                              <a:noFill/>
                              <a:ln w="9525" cap="flat" cmpd="sng">
                                <a:solidFill>
                                  <a:schemeClr val="dk1"/>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604519</wp:posOffset>
                      </wp:positionH>
                      <wp:positionV relativeFrom="paragraph">
                        <wp:posOffset>36830</wp:posOffset>
                      </wp:positionV>
                      <wp:extent cx="0" cy="12700"/>
                      <wp:effectExtent b="0" l="0" r="0" t="0"/>
                      <wp:wrapNone/>
                      <wp:docPr id="33" name="image6.png"/>
                      <a:graphic>
                        <a:graphicData uri="http://schemas.openxmlformats.org/drawingml/2006/picture">
                          <pic:pic>
                            <pic:nvPicPr>
                              <pic:cNvPr id="0" name="image6.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r>
              <w:rPr>
                <w:noProof/>
                <w:lang w:val="en-US"/>
              </w:rPr>
              <mc:AlternateContent>
                <mc:Choice Requires="wps">
                  <w:drawing>
                    <wp:anchor distT="0" distB="0" distL="114300" distR="114300" simplePos="0" relativeHeight="251660288" behindDoc="0" locked="0" layoutInCell="1" hidden="0" allowOverlap="1">
                      <wp:simplePos x="0" y="0"/>
                      <wp:positionH relativeFrom="column">
                        <wp:posOffset>608329</wp:posOffset>
                      </wp:positionH>
                      <wp:positionV relativeFrom="paragraph">
                        <wp:posOffset>40005</wp:posOffset>
                      </wp:positionV>
                      <wp:extent cx="0" cy="12700"/>
                      <wp:effectExtent l="0" t="0" r="0" b="0"/>
                      <wp:wrapNone/>
                      <wp:docPr id="35" name=""/>
                      <wp:cNvGraphicFramePr/>
                      <a:graphic xmlns:a="http://schemas.openxmlformats.org/drawingml/2006/main">
                        <a:graphicData uri="http://schemas.microsoft.com/office/word/2010/wordprocessingShape">
                          <wps:wsp>
                            <wps:cNvCnPr/>
                            <wps:spPr>
                              <a:xfrm>
                                <a:off x="4874513" y="3780000"/>
                                <a:ext cx="942975" cy="0"/>
                              </a:xfrm>
                              <a:prstGeom prst="straightConnector1">
                                <a:avLst/>
                              </a:prstGeom>
                              <a:noFill/>
                              <a:ln w="9525" cap="flat" cmpd="sng">
                                <a:solidFill>
                                  <a:schemeClr val="dk1"/>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608329</wp:posOffset>
                      </wp:positionH>
                      <wp:positionV relativeFrom="paragraph">
                        <wp:posOffset>40005</wp:posOffset>
                      </wp:positionV>
                      <wp:extent cx="0" cy="12700"/>
                      <wp:effectExtent b="0" l="0" r="0" t="0"/>
                      <wp:wrapNone/>
                      <wp:docPr id="35" name="image8.png"/>
                      <a:graphic>
                        <a:graphicData uri="http://schemas.openxmlformats.org/drawingml/2006/picture">
                          <pic:pic>
                            <pic:nvPicPr>
                              <pic:cNvPr id="0" name="image8.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rsidR="00064174" w:rsidRDefault="00064174">
            <w:pPr>
              <w:keepNext/>
              <w:spacing w:before="0" w:after="0" w:line="240" w:lineRule="auto"/>
              <w:jc w:val="center"/>
              <w:rPr>
                <w:rFonts w:ascii="Times New Roman" w:eastAsia="Times New Roman" w:hAnsi="Times New Roman" w:cs="Times New Roman"/>
                <w:sz w:val="28"/>
                <w:szCs w:val="28"/>
              </w:rPr>
            </w:pPr>
          </w:p>
          <w:p w:rsidR="00064174" w:rsidRDefault="00966D7D">
            <w:pPr>
              <w:keepNext/>
              <w:spacing w:before="0"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Số:          /TTr-BTP</w:t>
            </w:r>
          </w:p>
          <w:p w:rsidR="00064174" w:rsidRDefault="00064174">
            <w:pPr>
              <w:keepNext/>
              <w:spacing w:before="0" w:after="0" w:line="240" w:lineRule="auto"/>
              <w:jc w:val="center"/>
              <w:rPr>
                <w:rFonts w:ascii="Times New Roman" w:eastAsia="Times New Roman" w:hAnsi="Times New Roman" w:cs="Times New Roman"/>
                <w:sz w:val="28"/>
                <w:szCs w:val="28"/>
              </w:rPr>
            </w:pPr>
          </w:p>
        </w:tc>
        <w:tc>
          <w:tcPr>
            <w:tcW w:w="6720" w:type="dxa"/>
            <w:shd w:val="clear" w:color="auto" w:fill="FFFFFF"/>
          </w:tcPr>
          <w:p w:rsidR="00064174" w:rsidRDefault="00966D7D">
            <w:pPr>
              <w:keepNext/>
              <w:spacing w:before="0"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CỘNG HOÀ XÃ HỘI CHỦ NGHĨA VIỆT NAM</w:t>
            </w:r>
          </w:p>
          <w:p w:rsidR="00064174" w:rsidRDefault="00966D7D">
            <w:pPr>
              <w:keepNext/>
              <w:spacing w:before="0"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Độc lập - Tự do - Hạnh phúc</w:t>
            </w:r>
          </w:p>
          <w:p w:rsidR="00064174" w:rsidRDefault="00966D7D">
            <w:pPr>
              <w:keepNext/>
              <w:spacing w:before="0" w:after="0" w:line="240" w:lineRule="auto"/>
              <w:jc w:val="center"/>
              <w:rPr>
                <w:rFonts w:ascii="Times New Roman" w:eastAsia="Times New Roman" w:hAnsi="Times New Roman" w:cs="Times New Roman"/>
                <w:i/>
                <w:iCs/>
                <w:sz w:val="28"/>
                <w:szCs w:val="28"/>
              </w:rPr>
            </w:pPr>
            <w:r>
              <w:rPr>
                <w:noProof/>
                <w:lang w:val="en-US"/>
              </w:rPr>
              <mc:AlternateContent>
                <mc:Choice Requires="wps">
                  <w:drawing>
                    <wp:anchor distT="0" distB="0" distL="114300" distR="114300" simplePos="0" relativeHeight="251667456" behindDoc="0" locked="0" layoutInCell="1" allowOverlap="1">
                      <wp:simplePos x="0" y="0"/>
                      <wp:positionH relativeFrom="column">
                        <wp:posOffset>1035684</wp:posOffset>
                      </wp:positionH>
                      <wp:positionV relativeFrom="paragraph">
                        <wp:posOffset>42545</wp:posOffset>
                      </wp:positionV>
                      <wp:extent cx="2028825" cy="0"/>
                      <wp:effectExtent l="0" t="0" r="28575" b="19050"/>
                      <wp:wrapNone/>
                      <wp:docPr id="2" name="Straight Connector 2"/>
                      <wp:cNvGraphicFramePr/>
                      <a:graphic xmlns:a="http://schemas.openxmlformats.org/drawingml/2006/main">
                        <a:graphicData uri="http://schemas.microsoft.com/office/word/2010/wordprocessingShape">
                          <wps:wsp>
                            <wps:cNvCnPr/>
                            <wps:spPr>
                              <a:xfrm>
                                <a:off x="0" y="0"/>
                                <a:ext cx="20288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17978CE" id="Straight Connector 2"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81.55pt,3.35pt" to="241.3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" strokecolor="black [3200]" strokeweight=".5pt">
                      <v:stroke joinstyle="miter"/>
                    </v:line>
                  </w:pict>
                </mc:Fallback>
              </mc:AlternateContent>
            </w:r>
            <w:r>
              <w:rPr>
                <w:noProof/>
                <w:lang w:val="en-US"/>
              </w:rPr>
              <mc:AlternateContent>
                <mc:Choice Requires="wps">
                  <w:drawing>
                    <wp:anchor distT="0" distB="0" distL="114300" distR="114300" simplePos="0" relativeHeight="251661312" behindDoc="0" locked="0" layoutInCell="1" hidden="0" allowOverlap="1">
                      <wp:simplePos x="0" y="0"/>
                      <wp:positionH relativeFrom="column">
                        <wp:posOffset>1370040</wp:posOffset>
                      </wp:positionH>
                      <wp:positionV relativeFrom="paragraph">
                        <wp:posOffset>14352</wp:posOffset>
                      </wp:positionV>
                      <wp:extent cx="0" cy="12700"/>
                      <wp:effectExtent l="0" t="0" r="0" b="0"/>
                      <wp:wrapNone/>
                      <wp:docPr id="34" name=""/>
                      <wp:cNvGraphicFramePr/>
                      <a:graphic xmlns:a="http://schemas.openxmlformats.org/drawingml/2006/main">
                        <a:graphicData uri="http://schemas.microsoft.com/office/word/2010/wordprocessingShape">
                          <wps:wsp>
                            <wps:cNvCnPr/>
                            <wps:spPr>
                              <a:xfrm>
                                <a:off x="4821721" y="3780000"/>
                                <a:ext cx="1048559" cy="0"/>
                              </a:xfrm>
                              <a:prstGeom prst="straightConnector1">
                                <a:avLst/>
                              </a:prstGeom>
                              <a:noFill/>
                              <a:ln w="9525" cap="flat" cmpd="sng">
                                <a:solidFill>
                                  <a:schemeClr val="dk1"/>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1370040</wp:posOffset>
                      </wp:positionH>
                      <wp:positionV relativeFrom="paragraph">
                        <wp:posOffset>14352</wp:posOffset>
                      </wp:positionV>
                      <wp:extent cx="0" cy="12700"/>
                      <wp:effectExtent b="0" l="0" r="0" t="0"/>
                      <wp:wrapNone/>
                      <wp:docPr id="34" name="image7.png"/>
                      <a:graphic>
                        <a:graphicData uri="http://schemas.openxmlformats.org/drawingml/2006/picture">
                          <pic:pic>
                            <pic:nvPicPr>
                              <pic:cNvPr id="0" name="image7.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r>
              <w:rPr>
                <w:noProof/>
                <w:lang w:val="en-US"/>
              </w:rPr>
              <mc:AlternateContent>
                <mc:Choice Requires="wps">
                  <w:drawing>
                    <wp:anchor distT="0" distB="0" distL="114300" distR="114300" simplePos="0" relativeHeight="251662336" behindDoc="0" locked="0" layoutInCell="1" hidden="0" allowOverlap="1">
                      <wp:simplePos x="0" y="0"/>
                      <wp:positionH relativeFrom="column">
                        <wp:posOffset>1010285</wp:posOffset>
                      </wp:positionH>
                      <wp:positionV relativeFrom="paragraph">
                        <wp:posOffset>51435</wp:posOffset>
                      </wp:positionV>
                      <wp:extent cx="0" cy="12700"/>
                      <wp:effectExtent l="0" t="0" r="0" b="0"/>
                      <wp:wrapNone/>
                      <wp:docPr id="31" name=""/>
                      <wp:cNvGraphicFramePr/>
                      <a:graphic xmlns:a="http://schemas.openxmlformats.org/drawingml/2006/main">
                        <a:graphicData uri="http://schemas.microsoft.com/office/word/2010/wordprocessingShape">
                          <wps:wsp>
                            <wps:cNvCnPr/>
                            <wps:spPr>
                              <a:xfrm>
                                <a:off x="4336350" y="3780000"/>
                                <a:ext cx="2019300" cy="0"/>
                              </a:xfrm>
                              <a:prstGeom prst="straightConnector1">
                                <a:avLst/>
                              </a:prstGeom>
                              <a:noFill/>
                              <a:ln w="9525" cap="flat" cmpd="sng">
                                <a:solidFill>
                                  <a:schemeClr val="dk1"/>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1010285</wp:posOffset>
                      </wp:positionH>
                      <wp:positionV relativeFrom="paragraph">
                        <wp:posOffset>51435</wp:posOffset>
                      </wp:positionV>
                      <wp:extent cx="0" cy="12700"/>
                      <wp:effectExtent b="0" l="0" r="0" t="0"/>
                      <wp:wrapNone/>
                      <wp:docPr id="31" name="image4.png"/>
                      <a:graphic>
                        <a:graphicData uri="http://schemas.openxmlformats.org/drawingml/2006/picture">
                          <pic:pic>
                            <pic:nvPicPr>
                              <pic:cNvPr id="0" name="image4.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rsidR="00064174" w:rsidRDefault="00966D7D">
            <w:pPr>
              <w:keepNext/>
              <w:spacing w:before="0"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i/>
                <w:iCs/>
                <w:sz w:val="28"/>
                <w:szCs w:val="28"/>
              </w:rPr>
              <w:t>Hà Nội, ngày      tháng  01  năm 2026</w:t>
            </w:r>
          </w:p>
        </w:tc>
      </w:tr>
    </w:tbl>
    <w:p w:rsidR="00064174" w:rsidRDefault="00966D7D">
      <w:pPr>
        <w:spacing w:before="120"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TỜ TRÌNH</w:t>
      </w:r>
      <w:r>
        <w:rPr>
          <w:noProof/>
          <w:lang w:val="en-US"/>
        </w:rPr>
        <mc:AlternateContent>
          <mc:Choice Requires="wpg">
            <w:drawing>
              <wp:anchor distT="0" distB="0" distL="114300" distR="114300" simplePos="0" relativeHeight="251664384" behindDoc="0" locked="0" layoutInCell="1" hidden="0" allowOverlap="1">
                <wp:simplePos x="0" y="0"/>
                <wp:positionH relativeFrom="column">
                  <wp:posOffset>171450</wp:posOffset>
                </wp:positionH>
                <wp:positionV relativeFrom="paragraph">
                  <wp:posOffset>24147</wp:posOffset>
                </wp:positionV>
                <wp:extent cx="895350" cy="371475"/>
                <wp:effectExtent l="0" t="0" r="0" b="0"/>
                <wp:wrapNone/>
                <wp:docPr id="32" name=""/>
                <wp:cNvGraphicFramePr/>
                <a:graphic xmlns:a="http://schemas.openxmlformats.org/drawingml/2006/main">
                  <a:graphicData uri="http://schemas.microsoft.com/office/word/2010/wordprocessingShape">
                    <wps:wsp>
                      <wps:cNvSpPr/>
                      <wps:spPr>
                        <a:xfrm>
                          <a:off x="4917375" y="3613313"/>
                          <a:ext cx="857250" cy="333375"/>
                        </a:xfrm>
                        <a:prstGeom prst="rect">
                          <a:avLst/>
                        </a:prstGeom>
                        <a:solidFill>
                          <a:schemeClr val="lt1"/>
                        </a:solidFill>
                        <a:ln w="12700" cap="flat" cmpd="sng">
                          <a:solidFill>
                            <a:schemeClr val="dk1"/>
                          </a:solidFill>
                          <a:prstDash val="solid"/>
                          <a:miter lim="800000"/>
                          <a:headEnd type="none" w="sm" len="sm"/>
                          <a:tailEnd type="none" w="sm" len="sm"/>
                        </a:ln>
                      </wps:spPr>
                      <wps:txbx>
                        <w:txbxContent>
                          <w:p w:rsidR="00064174" w:rsidRDefault="00966D7D">
                            <w:pPr>
                              <w:spacing w:before="0" w:after="0" w:line="240" w:lineRule="auto"/>
                              <w:jc w:val="center"/>
                              <w:textDirection w:val="btLr"/>
                            </w:pPr>
                            <w:r>
                              <w:rPr>
                                <w:rFonts w:ascii="Times New Roman" w:eastAsia="Times New Roman" w:hAnsi="Times New Roman" w:cs="Times New Roman"/>
                                <w:color w:val="000000"/>
                                <w:sz w:val="20"/>
                              </w:rPr>
                              <w:t>DỰ THẢO</w:t>
                            </w:r>
                          </w:p>
                        </w:txbxContent>
                      </wps:txbx>
                      <wps:bodyPr spcFirstLastPara="1" wrap="square" lIns="91425" tIns="45700" rIns="91425" bIns="45700" anchor="ctr"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171450</wp:posOffset>
                </wp:positionH>
                <wp:positionV relativeFrom="paragraph">
                  <wp:posOffset>24147</wp:posOffset>
                </wp:positionV>
                <wp:extent cx="895350" cy="371475"/>
                <wp:effectExtent b="0" l="0" r="0" t="0"/>
                <wp:wrapNone/>
                <wp:docPr id="32" name="image5.png"/>
                <a:graphic>
                  <a:graphicData uri="http://schemas.openxmlformats.org/drawingml/2006/picture">
                    <pic:pic>
                      <pic:nvPicPr>
                        <pic:cNvPr id="0" name="image5.png"/>
                        <pic:cNvPicPr preferRelativeResize="0"/>
                      </pic:nvPicPr>
                      <pic:blipFill>
                        <a:blip r:embed="rId8"/>
                        <a:srcRect/>
                        <a:stretch>
                          <a:fillRect/>
                        </a:stretch>
                      </pic:blipFill>
                      <pic:spPr>
                        <a:xfrm>
                          <a:off x="0" y="0"/>
                          <a:ext cx="895350" cy="371475"/>
                        </a:xfrm>
                        <a:prstGeom prst="rect"/>
                        <a:ln/>
                      </pic:spPr>
                    </pic:pic>
                  </a:graphicData>
                </a:graphic>
              </wp:anchor>
            </w:drawing>
          </mc:Fallback>
        </mc:AlternateContent>
      </w:r>
    </w:p>
    <w:p w:rsidR="00064174" w:rsidRDefault="00966D7D">
      <w:pPr>
        <w:spacing w:before="0"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Dự án Luật Hộ tịch (sửa đổi)</w:t>
      </w:r>
    </w:p>
    <w:p w:rsidR="00064174" w:rsidRDefault="00966D7D">
      <w:pPr>
        <w:widowControl w:val="0"/>
        <w:spacing w:before="120" w:after="120" w:line="240" w:lineRule="auto"/>
        <w:jc w:val="center"/>
        <w:rPr>
          <w:rFonts w:ascii="Times New Roman" w:eastAsia="Times New Roman" w:hAnsi="Times New Roman" w:cs="Times New Roman"/>
          <w:sz w:val="28"/>
          <w:szCs w:val="28"/>
        </w:rPr>
      </w:pPr>
      <w:r>
        <w:rPr>
          <w:noProof/>
          <w:lang w:val="en-US"/>
        </w:rPr>
        <mc:AlternateContent>
          <mc:Choice Requires="wps">
            <w:drawing>
              <wp:anchor distT="0" distB="0" distL="114300" distR="114300" simplePos="0" relativeHeight="251665408" behindDoc="0" locked="0" layoutInCell="1" hidden="0" allowOverlap="1">
                <wp:simplePos x="0" y="0"/>
                <wp:positionH relativeFrom="column">
                  <wp:posOffset>2396489</wp:posOffset>
                </wp:positionH>
                <wp:positionV relativeFrom="paragraph">
                  <wp:posOffset>38735</wp:posOffset>
                </wp:positionV>
                <wp:extent cx="0" cy="12700"/>
                <wp:effectExtent l="0" t="0" r="0" b="0"/>
                <wp:wrapNone/>
                <wp:docPr id="30" name=""/>
                <wp:cNvGraphicFramePr/>
                <a:graphic xmlns:a="http://schemas.openxmlformats.org/drawingml/2006/main">
                  <a:graphicData uri="http://schemas.microsoft.com/office/word/2010/wordprocessingShape">
                    <wps:wsp>
                      <wps:cNvCnPr/>
                      <wps:spPr>
                        <a:xfrm>
                          <a:off x="4884038" y="3780000"/>
                          <a:ext cx="923925" cy="0"/>
                        </a:xfrm>
                        <a:prstGeom prst="straightConnector1">
                          <a:avLst/>
                        </a:prstGeom>
                        <a:noFill/>
                        <a:ln w="9525" cap="flat" cmpd="sng">
                          <a:solidFill>
                            <a:schemeClr val="dk1"/>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2396489</wp:posOffset>
                </wp:positionH>
                <wp:positionV relativeFrom="paragraph">
                  <wp:posOffset>38735</wp:posOffset>
                </wp:positionV>
                <wp:extent cx="0" cy="12700"/>
                <wp:effectExtent b="0" l="0" r="0" t="0"/>
                <wp:wrapNone/>
                <wp:docPr id="30"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rsidR="00064174" w:rsidRDefault="00966D7D">
      <w:pPr>
        <w:widowControl w:val="0"/>
        <w:spacing w:before="120" w:after="12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Kính gửi: Chính phủ </w:t>
      </w:r>
    </w:p>
    <w:p w:rsidR="00064174" w:rsidRDefault="00064174">
      <w:pPr>
        <w:widowControl w:val="0"/>
        <w:spacing w:before="120" w:after="120" w:line="240" w:lineRule="auto"/>
        <w:jc w:val="center"/>
        <w:rPr>
          <w:rFonts w:ascii="Times New Roman" w:eastAsia="Times New Roman" w:hAnsi="Times New Roman" w:cs="Times New Roman"/>
          <w:sz w:val="16"/>
          <w:szCs w:val="16"/>
        </w:rPr>
      </w:pPr>
    </w:p>
    <w:p w:rsidR="00064174" w:rsidRDefault="00966D7D">
      <w:pPr>
        <w:widowControl w:val="0"/>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Thực hiện quy định của Luật Ban hành văn bản quy phạm pháp luật ngày 19/02/2025 (được sửa đổi, bổ sung một số điều bởi Luật số 87/2025/QH15), Bộ Tư pháp kính trình Chính phủ dự án Luật Hộ tịch (sửa đổi) (sau đây gọi chung là dự án Luật) như sau:</w:t>
      </w:r>
    </w:p>
    <w:p w:rsidR="00064174" w:rsidRDefault="00966D7D">
      <w:pPr>
        <w:spacing w:before="120" w:after="120" w:line="264" w:lineRule="auto"/>
        <w:ind w:firstLine="567"/>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I. SỰ CẦN THIẾT BAN HÀNH VĂN BẢN</w:t>
      </w:r>
    </w:p>
    <w:p w:rsidR="00064174" w:rsidRDefault="00966D7D">
      <w:pPr>
        <w:spacing w:before="120" w:after="120" w:line="264" w:lineRule="auto"/>
        <w:ind w:firstLine="567"/>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1. Cơ sở chính trị, pháp lý</w:t>
      </w:r>
    </w:p>
    <w:p w:rsidR="00064174" w:rsidRDefault="00966D7D">
      <w:pPr>
        <w:widowControl w:val="0"/>
        <w:spacing w:before="120" w:after="120" w:line="264" w:lineRule="auto"/>
        <w:ind w:firstLine="567"/>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1.1. Cơ sở chính trị</w:t>
      </w:r>
    </w:p>
    <w:p w:rsidR="00064174" w:rsidRPr="00966D7D" w:rsidRDefault="00966D7D">
      <w:pPr>
        <w:widowControl w:val="0"/>
        <w:spacing w:before="120" w:after="120" w:line="264" w:lineRule="auto"/>
        <w:ind w:firstLine="567"/>
        <w:jc w:val="both"/>
        <w:rPr>
          <w:rFonts w:ascii="Times New Roman" w:eastAsia="Times New Roman" w:hAnsi="Times New Roman" w:cs="Times New Roman"/>
          <w:spacing w:val="-6"/>
          <w:sz w:val="28"/>
          <w:szCs w:val="28"/>
        </w:rPr>
      </w:pPr>
      <w:r w:rsidRPr="00966D7D">
        <w:rPr>
          <w:rFonts w:ascii="Times New Roman" w:eastAsia="Times New Roman" w:hAnsi="Times New Roman" w:cs="Times New Roman"/>
          <w:spacing w:val="-6"/>
          <w:sz w:val="28"/>
          <w:szCs w:val="28"/>
        </w:rPr>
        <w:t>- Nghị quyết số 18-NQ/TW ngày 25/10/2017 của Ban Chấp hành Trung ương Đảng về một số vấn đề tiếp tục đổi mới, sắp xếp tổ chức bộ máy của hệ thống chính trị tinh gọn, hoạt độn</w:t>
      </w:r>
      <w:r w:rsidRPr="00966D7D">
        <w:rPr>
          <w:rFonts w:ascii="Times New Roman" w:eastAsia="Times New Roman" w:hAnsi="Times New Roman" w:cs="Times New Roman"/>
          <w:spacing w:val="-6"/>
          <w:sz w:val="28"/>
          <w:szCs w:val="28"/>
        </w:rPr>
        <w:t>g hiệu lực, hiệu quả, xác định nhiệm vụ chung của toàn bộ hệ thống chính trị:</w:t>
      </w:r>
      <w:r w:rsidRPr="00966D7D">
        <w:rPr>
          <w:rFonts w:ascii="Times New Roman" w:eastAsia="Times New Roman" w:hAnsi="Times New Roman" w:cs="Times New Roman"/>
          <w:color w:val="FF0000"/>
          <w:spacing w:val="-6"/>
          <w:sz w:val="28"/>
          <w:szCs w:val="28"/>
        </w:rPr>
        <w:t xml:space="preserve"> </w:t>
      </w:r>
      <w:r w:rsidRPr="00966D7D">
        <w:rPr>
          <w:rFonts w:ascii="Times New Roman" w:eastAsia="Times New Roman" w:hAnsi="Times New Roman" w:cs="Times New Roman"/>
          <w:i/>
          <w:iCs/>
          <w:spacing w:val="-6"/>
          <w:sz w:val="28"/>
          <w:szCs w:val="28"/>
        </w:rPr>
        <w:t>“Thực hiện phân cấp, phân quyền mạnh mẽ, hợp lý giữa Trung ương và địa phương, giữa cấp trên và cấp dưới, gắn quyền hạn với trách nhiệm”</w:t>
      </w:r>
      <w:r w:rsidRPr="00966D7D">
        <w:rPr>
          <w:rFonts w:ascii="Times New Roman" w:eastAsia="Times New Roman" w:hAnsi="Times New Roman" w:cs="Times New Roman"/>
          <w:spacing w:val="-6"/>
          <w:sz w:val="28"/>
          <w:szCs w:val="28"/>
        </w:rPr>
        <w:t xml:space="preserve">; </w:t>
      </w:r>
      <w:r w:rsidRPr="00966D7D">
        <w:rPr>
          <w:rFonts w:ascii="Times New Roman" w:eastAsia="Times New Roman" w:hAnsi="Times New Roman" w:cs="Times New Roman"/>
          <w:i/>
          <w:iCs/>
          <w:spacing w:val="-6"/>
          <w:sz w:val="28"/>
          <w:szCs w:val="28"/>
        </w:rPr>
        <w:t>“Tiếp tục cải cách hành chính mạnh mẽ, ứ</w:t>
      </w:r>
      <w:r w:rsidRPr="00966D7D">
        <w:rPr>
          <w:rFonts w:ascii="Times New Roman" w:eastAsia="Times New Roman" w:hAnsi="Times New Roman" w:cs="Times New Roman"/>
          <w:i/>
          <w:iCs/>
          <w:spacing w:val="-6"/>
          <w:sz w:val="28"/>
          <w:szCs w:val="28"/>
        </w:rPr>
        <w:t>ng dụng sâu rộng khoa học - công nghệ, nhất là công nghệ thông tin; đẩy mạnh xây dựng chính phủ điện tử”</w:t>
      </w:r>
      <w:r w:rsidRPr="00966D7D">
        <w:rPr>
          <w:rFonts w:ascii="Times New Roman" w:eastAsia="Times New Roman" w:hAnsi="Times New Roman" w:cs="Times New Roman"/>
          <w:spacing w:val="-6"/>
          <w:sz w:val="28"/>
          <w:szCs w:val="28"/>
        </w:rPr>
        <w:t xml:space="preserve">; </w:t>
      </w:r>
      <w:r w:rsidRPr="00966D7D">
        <w:rPr>
          <w:rFonts w:ascii="Times New Roman" w:eastAsia="Times New Roman" w:hAnsi="Times New Roman" w:cs="Times New Roman"/>
          <w:i/>
          <w:iCs/>
          <w:spacing w:val="-6"/>
          <w:sz w:val="28"/>
          <w:szCs w:val="28"/>
        </w:rPr>
        <w:t>“Tăng cường hiệu lực, hiệu quả hoạt động của chính quyền cấp xã và quy định khung số lượng cán bộ, công chức cấp xã cho phù hợp theo hướng xác định rõ</w:t>
      </w:r>
      <w:r w:rsidRPr="00966D7D">
        <w:rPr>
          <w:rFonts w:ascii="Times New Roman" w:eastAsia="Times New Roman" w:hAnsi="Times New Roman" w:cs="Times New Roman"/>
          <w:i/>
          <w:iCs/>
          <w:spacing w:val="-6"/>
          <w:sz w:val="28"/>
          <w:szCs w:val="28"/>
        </w:rPr>
        <w:t xml:space="preserve"> vị trí việc làm, tiêu chuẩn chức danh, đặc thù của địa phương và bảo đảm giảm biên chế”.</w:t>
      </w:r>
    </w:p>
    <w:p w:rsidR="00064174" w:rsidRDefault="00966D7D">
      <w:pPr>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Nghị quyết số 27-NQ/TW ngày 09/11/2022 tại Hội nghị lần thứ sáu Ban Chấp hành Trung ương Đảng khóa XIII về tiếp tục xây dựng và hoàn thiện Nhà nước pháp quyền xã hộ</w:t>
      </w:r>
      <w:r>
        <w:rPr>
          <w:rFonts w:ascii="Times New Roman" w:eastAsia="Times New Roman" w:hAnsi="Times New Roman" w:cs="Times New Roman"/>
          <w:sz w:val="28"/>
          <w:szCs w:val="28"/>
        </w:rPr>
        <w:t xml:space="preserve">i chủ nghĩa Việt Nam trong giai đoạn mới đã xác định yêu cầu: </w:t>
      </w:r>
      <w:r>
        <w:rPr>
          <w:rFonts w:ascii="Times New Roman" w:eastAsia="Times New Roman" w:hAnsi="Times New Roman" w:cs="Times New Roman"/>
          <w:i/>
          <w:iCs/>
          <w:sz w:val="28"/>
          <w:szCs w:val="28"/>
        </w:rPr>
        <w:t>“Ðơn giản hóa thủ tục hành chính, cắt bỏ các thủ tục không cần thiết, gây phiền hà cho người dân và doanh nghiệp...”</w:t>
      </w:r>
      <w:r>
        <w:rPr>
          <w:rFonts w:ascii="Times New Roman" w:eastAsia="Times New Roman" w:hAnsi="Times New Roman" w:cs="Times New Roman"/>
          <w:sz w:val="28"/>
          <w:szCs w:val="28"/>
        </w:rPr>
        <w:t>.</w:t>
      </w:r>
    </w:p>
    <w:p w:rsidR="00064174" w:rsidRDefault="00966D7D">
      <w:pPr>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Nghị quyết số 28-NQ/TW ngày 17/11/2022 tại Hội nghị lần thứ sáu Ban Chấp </w:t>
      </w:r>
      <w:r>
        <w:rPr>
          <w:rFonts w:ascii="Times New Roman" w:eastAsia="Times New Roman" w:hAnsi="Times New Roman" w:cs="Times New Roman"/>
          <w:sz w:val="28"/>
          <w:szCs w:val="28"/>
        </w:rPr>
        <w:t xml:space="preserve">hành Trung ương Đảng về tiếp tục đổi mới phương thức lãnh đạo, cầm quyền của Đảng đối với hệ thống chính trị trong giai đoạn mới, yêu cầu: </w:t>
      </w:r>
      <w:r>
        <w:rPr>
          <w:rFonts w:ascii="Times New Roman" w:eastAsia="Times New Roman" w:hAnsi="Times New Roman" w:cs="Times New Roman"/>
          <w:i/>
          <w:iCs/>
          <w:sz w:val="28"/>
          <w:szCs w:val="28"/>
        </w:rPr>
        <w:t>“…Phân cấp, phân quyền hợp lý, rõ ràng giữa Trung ương và địa phương, giữa cấp trên và cấp dưới, gắn quyền hạn với tr</w:t>
      </w:r>
      <w:r>
        <w:rPr>
          <w:rFonts w:ascii="Times New Roman" w:eastAsia="Times New Roman" w:hAnsi="Times New Roman" w:cs="Times New Roman"/>
          <w:i/>
          <w:iCs/>
          <w:sz w:val="28"/>
          <w:szCs w:val="28"/>
        </w:rPr>
        <w:t>ách nhiệm…”</w:t>
      </w:r>
      <w:r>
        <w:rPr>
          <w:rFonts w:ascii="Times New Roman" w:eastAsia="Times New Roman" w:hAnsi="Times New Roman" w:cs="Times New Roman"/>
          <w:sz w:val="28"/>
          <w:szCs w:val="28"/>
        </w:rPr>
        <w:t>.</w:t>
      </w:r>
    </w:p>
    <w:p w:rsidR="00064174" w:rsidRDefault="00966D7D">
      <w:pPr>
        <w:pBdr>
          <w:top w:val="nil"/>
          <w:left w:val="nil"/>
          <w:bottom w:val="nil"/>
          <w:right w:val="nil"/>
          <w:between w:val="nil"/>
        </w:pBdr>
        <w:spacing w:before="120" w:after="120" w:line="264" w:lineRule="auto"/>
        <w:ind w:firstLine="567"/>
        <w:jc w:val="both"/>
        <w:rPr>
          <w:rFonts w:ascii="Times New Roman" w:eastAsia="Times New Roman" w:hAnsi="Times New Roman" w:cs="Times New Roman"/>
          <w:i/>
          <w:iCs/>
          <w:color w:val="000000"/>
          <w:sz w:val="28"/>
          <w:szCs w:val="28"/>
        </w:rPr>
      </w:pPr>
      <w:r>
        <w:rPr>
          <w:rFonts w:ascii="Times New Roman" w:eastAsia="Times New Roman" w:hAnsi="Times New Roman" w:cs="Times New Roman"/>
          <w:color w:val="000000"/>
          <w:sz w:val="28"/>
          <w:szCs w:val="28"/>
        </w:rPr>
        <w:t xml:space="preserve">- Nghị quyết số 57-NQ/TW ngày 22/12/2024 của Bộ Chính trị về đột phá phát triển khoa học, công nghệ, đổi mới sáng tạo và chuyển đổi số quốc gia: </w:t>
      </w:r>
      <w:r>
        <w:rPr>
          <w:rFonts w:ascii="Times New Roman" w:eastAsia="Times New Roman" w:hAnsi="Times New Roman" w:cs="Times New Roman"/>
          <w:i/>
          <w:iCs/>
          <w:color w:val="000000"/>
          <w:sz w:val="28"/>
          <w:szCs w:val="28"/>
        </w:rPr>
        <w:t xml:space="preserve">“Đổi </w:t>
      </w:r>
      <w:r>
        <w:rPr>
          <w:rFonts w:ascii="Times New Roman" w:eastAsia="Times New Roman" w:hAnsi="Times New Roman" w:cs="Times New Roman"/>
          <w:i/>
          <w:iCs/>
          <w:color w:val="000000"/>
          <w:sz w:val="28"/>
          <w:szCs w:val="28"/>
        </w:rPr>
        <w:lastRenderedPageBreak/>
        <w:t>mới toàn diện việc giải quyết thủ tục hành chính, cung cấp dịch vụ công không phụ thuộc địa g</w:t>
      </w:r>
      <w:r>
        <w:rPr>
          <w:rFonts w:ascii="Times New Roman" w:eastAsia="Times New Roman" w:hAnsi="Times New Roman" w:cs="Times New Roman"/>
          <w:i/>
          <w:iCs/>
          <w:color w:val="000000"/>
          <w:sz w:val="28"/>
          <w:szCs w:val="28"/>
        </w:rPr>
        <w:t>iới hành chính; nâng cao chất lượng dịch vụ công trực tuyến, dịch vụ số cho người dân và doanh nghiệp, hướng tới cung cấp dịch vụ công trực tuyến toàn trình, cá nhân hoá và dựa trên dữ liệu”.</w:t>
      </w:r>
    </w:p>
    <w:p w:rsidR="00064174" w:rsidRDefault="00966D7D">
      <w:pPr>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Nghị quyết số 60-NQ/TW ngày 12/4/2025, Hội nghị lần thứ 11 của Ban Chấp hành Trung ương Đảng khoá XIII, yêu cầu: </w:t>
      </w:r>
      <w:r>
        <w:rPr>
          <w:rFonts w:ascii="Times New Roman" w:eastAsia="Times New Roman" w:hAnsi="Times New Roman" w:cs="Times New Roman"/>
          <w:i/>
          <w:iCs/>
          <w:sz w:val="28"/>
          <w:szCs w:val="28"/>
        </w:rPr>
        <w:t>“Hoàn thiện các văn bản quy phạm pháp luật để kịp thời tổ chức thực hiện sắp xếp đơn vị hành chính các cấp và tố chức hoạt động chính quyền địa phương 2 cấp gắn với đẩy mạnh phân cấp, phân quyền cho địa phương, bảo đảm đủ điều kiện, nguồn lực để thực hiện,</w:t>
      </w:r>
      <w:r>
        <w:rPr>
          <w:rFonts w:ascii="Times New Roman" w:eastAsia="Times New Roman" w:hAnsi="Times New Roman" w:cs="Times New Roman"/>
          <w:i/>
          <w:iCs/>
          <w:sz w:val="28"/>
          <w:szCs w:val="28"/>
        </w:rPr>
        <w:t xml:space="preserve"> nâng cao vai trò tự chủ, tự chịu trách nhiệm của chính quyền địa phương”</w:t>
      </w:r>
      <w:r>
        <w:rPr>
          <w:rFonts w:ascii="Times New Roman" w:eastAsia="Times New Roman" w:hAnsi="Times New Roman" w:cs="Times New Roman"/>
          <w:sz w:val="28"/>
          <w:szCs w:val="28"/>
        </w:rPr>
        <w:t>.</w:t>
      </w:r>
    </w:p>
    <w:p w:rsidR="00064174" w:rsidRDefault="00966D7D">
      <w:pPr>
        <w:pBdr>
          <w:top w:val="nil"/>
          <w:left w:val="nil"/>
          <w:bottom w:val="nil"/>
          <w:right w:val="nil"/>
          <w:between w:val="nil"/>
        </w:pBdr>
        <w:spacing w:before="120" w:after="120" w:line="264"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Nghị quyết số 66-NQ/TW ngày 30/4/2025 của Bộ Chính trị về đổi mới công tác xây dựng và thi hành pháp luật đáp ứng yêu cầu phát triển đất nước trong kỷ nguyên mới, x</w:t>
      </w:r>
      <w:r>
        <w:rPr>
          <w:rFonts w:ascii="Times New Roman" w:eastAsia="Times New Roman" w:hAnsi="Times New Roman" w:cs="Times New Roman"/>
          <w:sz w:val="28"/>
          <w:szCs w:val="28"/>
        </w:rPr>
        <w:t>ác định</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iCs/>
          <w:color w:val="000000"/>
          <w:sz w:val="28"/>
          <w:szCs w:val="28"/>
        </w:rPr>
        <w:t xml:space="preserve">“Khẩn </w:t>
      </w:r>
      <w:r>
        <w:rPr>
          <w:rFonts w:ascii="Times New Roman" w:eastAsia="Times New Roman" w:hAnsi="Times New Roman" w:cs="Times New Roman"/>
          <w:i/>
          <w:iCs/>
          <w:color w:val="000000"/>
          <w:sz w:val="28"/>
          <w:szCs w:val="28"/>
        </w:rPr>
        <w:t>trương sửa đổi, bổ sung các văn bản pháp luật đáp ứng yêu cầu thực hiện chủ trương tinh gọn tổ chức bộ máy của hệ thống chính trị, sắp xếp đơn vị hành chính, gắn với phân cấp, phân quyền tối đa theo phương châm “địa phương quyết, địa phương làm, địa phương</w:t>
      </w:r>
      <w:r>
        <w:rPr>
          <w:rFonts w:ascii="Times New Roman" w:eastAsia="Times New Roman" w:hAnsi="Times New Roman" w:cs="Times New Roman"/>
          <w:i/>
          <w:iCs/>
          <w:color w:val="000000"/>
          <w:sz w:val="28"/>
          <w:szCs w:val="28"/>
        </w:rPr>
        <w:t xml:space="preserve"> chịu trách nhiệm”</w:t>
      </w:r>
      <w:r>
        <w:rPr>
          <w:rFonts w:ascii="Times New Roman" w:eastAsia="Times New Roman" w:hAnsi="Times New Roman" w:cs="Times New Roman"/>
          <w:color w:val="000000"/>
          <w:sz w:val="28"/>
          <w:szCs w:val="28"/>
        </w:rPr>
        <w:t>.</w:t>
      </w:r>
    </w:p>
    <w:p w:rsidR="00064174" w:rsidRDefault="00966D7D">
      <w:pPr>
        <w:pBdr>
          <w:top w:val="nil"/>
          <w:left w:val="nil"/>
          <w:bottom w:val="nil"/>
          <w:right w:val="nil"/>
          <w:between w:val="nil"/>
        </w:pBdr>
        <w:spacing w:before="120" w:after="120" w:line="264" w:lineRule="auto"/>
        <w:ind w:firstLine="567"/>
        <w:jc w:val="both"/>
        <w:rPr>
          <w:rFonts w:ascii="Times New Roman" w:eastAsia="Times New Roman" w:hAnsi="Times New Roman" w:cs="Times New Roman"/>
          <w:i/>
          <w:iCs/>
          <w:color w:val="000000"/>
          <w:sz w:val="28"/>
          <w:szCs w:val="28"/>
        </w:rPr>
      </w:pPr>
      <w:r>
        <w:rPr>
          <w:rFonts w:ascii="Times New Roman" w:eastAsia="Times New Roman" w:hAnsi="Times New Roman" w:cs="Times New Roman"/>
          <w:color w:val="000000"/>
          <w:sz w:val="28"/>
          <w:szCs w:val="28"/>
        </w:rPr>
        <w:t xml:space="preserve">- Kết luận số 186-KL/TW ngày 29/8/2025 của Bộ Chính trị, Ban Bí thư về tình hình, kết quả hoạt động của bộ máy hệ thống chính trị và chính quyền địa phương 2 cấp, </w:t>
      </w:r>
      <w:r>
        <w:rPr>
          <w:rFonts w:ascii="Times New Roman" w:eastAsia="Times New Roman" w:hAnsi="Times New Roman" w:cs="Times New Roman"/>
          <w:sz w:val="28"/>
          <w:szCs w:val="28"/>
        </w:rPr>
        <w:t xml:space="preserve">có </w:t>
      </w:r>
      <w:r>
        <w:rPr>
          <w:rFonts w:ascii="Times New Roman" w:eastAsia="Times New Roman" w:hAnsi="Times New Roman" w:cs="Times New Roman"/>
          <w:color w:val="000000"/>
          <w:sz w:val="28"/>
          <w:szCs w:val="28"/>
        </w:rPr>
        <w:t xml:space="preserve">yêu cầu: </w:t>
      </w:r>
      <w:r>
        <w:rPr>
          <w:rFonts w:ascii="Times New Roman" w:eastAsia="Times New Roman" w:hAnsi="Times New Roman" w:cs="Times New Roman"/>
          <w:i/>
          <w:iCs/>
          <w:color w:val="000000"/>
          <w:sz w:val="28"/>
          <w:szCs w:val="28"/>
        </w:rPr>
        <w:t>“các Bộ ngành tiếp tục rà soát, cắt giảm thành phần hồ sơ khô</w:t>
      </w:r>
      <w:r>
        <w:rPr>
          <w:rFonts w:ascii="Times New Roman" w:eastAsia="Times New Roman" w:hAnsi="Times New Roman" w:cs="Times New Roman"/>
          <w:i/>
          <w:iCs/>
          <w:color w:val="000000"/>
          <w:sz w:val="28"/>
          <w:szCs w:val="28"/>
        </w:rPr>
        <w:t>ng cần thiết trên nguyên tắc khai thác tối đa các dữ liệu sẵn có”.</w:t>
      </w:r>
    </w:p>
    <w:p w:rsidR="00064174" w:rsidRDefault="00966D7D">
      <w:pPr>
        <w:pBdr>
          <w:top w:val="nil"/>
          <w:left w:val="nil"/>
          <w:bottom w:val="nil"/>
          <w:right w:val="nil"/>
          <w:between w:val="nil"/>
        </w:pBdr>
        <w:spacing w:before="120" w:after="120" w:line="264"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Thông báo kết luận số 01-TB/BCĐTW ngày 22/01/2025 của Tổng Bí thư Tô Lâm, Trưởng Ban Chỉ đạo Trung ương về phát triển khoa học, công nghệ, đổi mới sáng tạo và chuyển đổi số </w:t>
      </w:r>
      <w:r>
        <w:rPr>
          <w:rFonts w:ascii="Times New Roman" w:eastAsia="Times New Roman" w:hAnsi="Times New Roman" w:cs="Times New Roman"/>
          <w:sz w:val="28"/>
          <w:szCs w:val="28"/>
        </w:rPr>
        <w:t>sau</w:t>
      </w:r>
      <w:r>
        <w:rPr>
          <w:rFonts w:ascii="Times New Roman" w:eastAsia="Times New Roman" w:hAnsi="Times New Roman" w:cs="Times New Roman"/>
          <w:color w:val="000000"/>
          <w:sz w:val="28"/>
          <w:szCs w:val="28"/>
        </w:rPr>
        <w:t xml:space="preserve"> Phiên họp </w:t>
      </w:r>
      <w:r>
        <w:rPr>
          <w:rFonts w:ascii="Times New Roman" w:eastAsia="Times New Roman" w:hAnsi="Times New Roman" w:cs="Times New Roman"/>
          <w:color w:val="000000"/>
          <w:sz w:val="28"/>
          <w:szCs w:val="28"/>
        </w:rPr>
        <w:t xml:space="preserve">thứ nhất của Ban Chỉ đạo </w:t>
      </w:r>
      <w:r>
        <w:rPr>
          <w:rFonts w:ascii="Times New Roman" w:eastAsia="Times New Roman" w:hAnsi="Times New Roman" w:cs="Times New Roman"/>
          <w:sz w:val="28"/>
          <w:szCs w:val="28"/>
        </w:rPr>
        <w:t>yêu cầu</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iCs/>
          <w:color w:val="000000"/>
          <w:sz w:val="28"/>
          <w:szCs w:val="28"/>
        </w:rPr>
        <w:t>“</w:t>
      </w:r>
      <w:r>
        <w:rPr>
          <w:rFonts w:ascii="Times New Roman" w:eastAsia="Times New Roman" w:hAnsi="Times New Roman" w:cs="Times New Roman"/>
          <w:i/>
          <w:iCs/>
          <w:sz w:val="28"/>
          <w:szCs w:val="28"/>
        </w:rPr>
        <w:t>...</w:t>
      </w:r>
      <w:r>
        <w:rPr>
          <w:rFonts w:ascii="Times New Roman" w:eastAsia="Times New Roman" w:hAnsi="Times New Roman" w:cs="Times New Roman"/>
          <w:i/>
          <w:iCs/>
          <w:color w:val="000000"/>
          <w:sz w:val="28"/>
          <w:szCs w:val="28"/>
        </w:rPr>
        <w:t xml:space="preserve"> 100% thủ tục hành chính được thực hiện không phụ thuộc vào địa giới hành chính trong phạm vi cấp tỉnh; </w:t>
      </w:r>
      <w:r>
        <w:rPr>
          <w:rFonts w:ascii="Times New Roman" w:eastAsia="Times New Roman" w:hAnsi="Times New Roman" w:cs="Times New Roman"/>
          <w:i/>
          <w:iCs/>
          <w:sz w:val="28"/>
          <w:szCs w:val="28"/>
        </w:rPr>
        <w:t>…</w:t>
      </w:r>
      <w:r>
        <w:rPr>
          <w:rFonts w:ascii="Times New Roman" w:eastAsia="Times New Roman" w:hAnsi="Times New Roman" w:cs="Times New Roman"/>
          <w:i/>
          <w:iCs/>
          <w:color w:val="000000"/>
          <w:sz w:val="28"/>
          <w:szCs w:val="28"/>
        </w:rPr>
        <w:t>”</w:t>
      </w:r>
      <w:r>
        <w:rPr>
          <w:rFonts w:ascii="Times New Roman" w:eastAsia="Times New Roman" w:hAnsi="Times New Roman" w:cs="Times New Roman"/>
          <w:color w:val="000000"/>
          <w:sz w:val="28"/>
          <w:szCs w:val="28"/>
        </w:rPr>
        <w:t>.</w:t>
      </w:r>
    </w:p>
    <w:p w:rsidR="00064174" w:rsidRDefault="00966D7D">
      <w:pPr>
        <w:spacing w:before="120" w:after="120" w:line="264" w:lineRule="auto"/>
        <w:ind w:firstLine="567"/>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1.2. Cơ sở pháp lý</w:t>
      </w:r>
    </w:p>
    <w:p w:rsidR="00064174" w:rsidRDefault="00966D7D">
      <w:pPr>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Nghị quyết số 203/2025/QH15 ngày 16/6/2025 của Quốc hội sửa đổi, bổ sung một số điều của </w:t>
      </w:r>
      <w:r>
        <w:rPr>
          <w:rFonts w:ascii="Times New Roman" w:eastAsia="Times New Roman" w:hAnsi="Times New Roman" w:cs="Times New Roman"/>
          <w:sz w:val="28"/>
          <w:szCs w:val="28"/>
        </w:rPr>
        <w:t xml:space="preserve">Hiến pháp nước Cộng hoà XHCN Việt Nam, có quy định: </w:t>
      </w:r>
      <w:r>
        <w:rPr>
          <w:rFonts w:ascii="Times New Roman" w:eastAsia="Times New Roman" w:hAnsi="Times New Roman" w:cs="Times New Roman"/>
          <w:i/>
          <w:iCs/>
          <w:sz w:val="28"/>
          <w:szCs w:val="28"/>
        </w:rPr>
        <w:t>“Các đơn vị hành chính của nước Cộng hòa xã hội chủ nghĩa Việt Nam được tổ chức thành hai cấp, gồm tỉnh, thành phố trực thuộc trung ương và các đơn vị hành chính dưới tỉnh, thành phố trực thuộc trung ương</w:t>
      </w:r>
      <w:r>
        <w:rPr>
          <w:rFonts w:ascii="Times New Roman" w:eastAsia="Times New Roman" w:hAnsi="Times New Roman" w:cs="Times New Roman"/>
          <w:i/>
          <w:iCs/>
          <w:sz w:val="28"/>
          <w:szCs w:val="28"/>
        </w:rPr>
        <w:t xml:space="preserve"> do luật định”</w:t>
      </w:r>
      <w:r>
        <w:rPr>
          <w:rFonts w:ascii="Times New Roman" w:eastAsia="Times New Roman" w:hAnsi="Times New Roman" w:cs="Times New Roman"/>
          <w:sz w:val="28"/>
          <w:szCs w:val="28"/>
        </w:rPr>
        <w:t xml:space="preserve"> (Khoản 4 Điều 1</w:t>
      </w:r>
      <w:bookmarkStart w:id="0" w:name="bookmark=id.vupz5pwwzxhm" w:colFirst="0" w:colLast="0"/>
      <w:bookmarkEnd w:id="0"/>
      <w:r>
        <w:rPr>
          <w:rFonts w:ascii="Times New Roman" w:eastAsia="Times New Roman" w:hAnsi="Times New Roman" w:cs="Times New Roman"/>
          <w:sz w:val="28"/>
          <w:szCs w:val="28"/>
        </w:rPr>
        <w:t xml:space="preserve"> - sửa đổi, bổ sung Điều 110 Hiến pháp năm 2013).</w:t>
      </w:r>
    </w:p>
    <w:p w:rsidR="00064174" w:rsidRDefault="00966D7D">
      <w:pPr>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Luật Tổ chức chính quyền địa phương số 72/2025/QH15 ngày 16/6/2025 quy định về đơn vị hành chính của nước Cộng hòa xã hội chủ nghĩa Việt Nam theo mô hình chính quyền địa phươ</w:t>
      </w:r>
      <w:r>
        <w:rPr>
          <w:rFonts w:ascii="Times New Roman" w:eastAsia="Times New Roman" w:hAnsi="Times New Roman" w:cs="Times New Roman"/>
          <w:sz w:val="28"/>
          <w:szCs w:val="28"/>
        </w:rPr>
        <w:t xml:space="preserve">ng 02 cấp: </w:t>
      </w:r>
      <w:r>
        <w:rPr>
          <w:rFonts w:ascii="Times New Roman" w:eastAsia="Times New Roman" w:hAnsi="Times New Roman" w:cs="Times New Roman"/>
          <w:i/>
          <w:iCs/>
          <w:sz w:val="28"/>
          <w:szCs w:val="28"/>
        </w:rPr>
        <w:t>“Đơn vị hành chính của nước Cộng hòa xã hội chủ nghĩa Việt Nam được tổ chức thành 02 cấp, gồm có: Tỉnh, thành phố trực thuộc trung ương (sau đây gọi chung là cấp tỉnh); Xã, phường, đặc khu trực thuộc cấp tỉnh (sau đây gọi chung là cấp xã)...”</w:t>
      </w:r>
      <w:r>
        <w:rPr>
          <w:rFonts w:ascii="Times New Roman" w:eastAsia="Times New Roman" w:hAnsi="Times New Roman" w:cs="Times New Roman"/>
          <w:sz w:val="28"/>
          <w:szCs w:val="28"/>
        </w:rPr>
        <w:t>.</w:t>
      </w:r>
    </w:p>
    <w:p w:rsidR="00064174" w:rsidRDefault="00966D7D">
      <w:pPr>
        <w:spacing w:before="120" w:after="120" w:line="264" w:lineRule="auto"/>
        <w:ind w:firstLine="567"/>
        <w:jc w:val="both"/>
        <w:rPr>
          <w:rFonts w:ascii="Times New Roman" w:eastAsia="Times New Roman" w:hAnsi="Times New Roman" w:cs="Times New Roman"/>
          <w:i/>
          <w:iCs/>
          <w:sz w:val="28"/>
          <w:szCs w:val="28"/>
        </w:rPr>
      </w:pPr>
      <w:r>
        <w:rPr>
          <w:rFonts w:ascii="Times New Roman" w:eastAsia="Times New Roman" w:hAnsi="Times New Roman" w:cs="Times New Roman"/>
          <w:sz w:val="28"/>
          <w:szCs w:val="28"/>
        </w:rPr>
        <w:lastRenderedPageBreak/>
        <w:t>-</w:t>
      </w:r>
      <w:r>
        <w:rPr>
          <w:rFonts w:ascii="Times New Roman" w:eastAsia="Times New Roman" w:hAnsi="Times New Roman" w:cs="Times New Roman"/>
          <w:sz w:val="28"/>
          <w:szCs w:val="28"/>
        </w:rPr>
        <w:t xml:space="preserve"> Luật Tổ chức Chính phủ số 63/2025/QH15 ngày 18/02/2025 quy định: </w:t>
      </w:r>
      <w:r>
        <w:rPr>
          <w:rFonts w:ascii="Times New Roman" w:eastAsia="Times New Roman" w:hAnsi="Times New Roman" w:cs="Times New Roman"/>
          <w:i/>
          <w:iCs/>
          <w:sz w:val="28"/>
          <w:szCs w:val="28"/>
        </w:rPr>
        <w:t>“Khuyến khích cơ quan nhà nước ở trung ương và chính quyền địa phương chủ động đề xuất việc phân quyền, phân cấp …”</w:t>
      </w:r>
      <w:r>
        <w:rPr>
          <w:rFonts w:ascii="Times New Roman" w:eastAsia="Times New Roman" w:hAnsi="Times New Roman" w:cs="Times New Roman"/>
          <w:sz w:val="28"/>
          <w:szCs w:val="28"/>
        </w:rPr>
        <w:t xml:space="preserve">; </w:t>
      </w:r>
      <w:r>
        <w:rPr>
          <w:rFonts w:ascii="Times New Roman" w:eastAsia="Times New Roman" w:hAnsi="Times New Roman" w:cs="Times New Roman"/>
          <w:i/>
          <w:iCs/>
          <w:sz w:val="28"/>
          <w:szCs w:val="28"/>
        </w:rPr>
        <w:t>“</w:t>
      </w:r>
      <w:r>
        <w:rPr>
          <w:rFonts w:ascii="Times New Roman" w:eastAsia="Times New Roman" w:hAnsi="Times New Roman" w:cs="Times New Roman"/>
          <w:i/>
          <w:iCs/>
          <w:color w:val="000000"/>
          <w:sz w:val="28"/>
          <w:szCs w:val="28"/>
          <w:highlight w:val="white"/>
        </w:rPr>
        <w:t>Trường hợp luật, nghị quyết của Quốc hội, pháp lệnh, nghị quyết của Ủy b</w:t>
      </w:r>
      <w:r>
        <w:rPr>
          <w:rFonts w:ascii="Times New Roman" w:eastAsia="Times New Roman" w:hAnsi="Times New Roman" w:cs="Times New Roman"/>
          <w:i/>
          <w:iCs/>
          <w:color w:val="000000"/>
          <w:sz w:val="28"/>
          <w:szCs w:val="28"/>
          <w:highlight w:val="white"/>
        </w:rPr>
        <w:t>an Thường vụ Quốc hội quy định về nhiệm vụ, quyền hạn của Chính phủ, Thủ tướng Chính phủ, Bộ trưởng, Thủ trưởng cơ quan ngang Bộ chưa phù hợp với quy định của Luật này thì phải điều chỉnh thống nhất với quy định của Luật này trong thời hạn 02 năm kể từ ngà</w:t>
      </w:r>
      <w:r>
        <w:rPr>
          <w:rFonts w:ascii="Times New Roman" w:eastAsia="Times New Roman" w:hAnsi="Times New Roman" w:cs="Times New Roman"/>
          <w:i/>
          <w:iCs/>
          <w:color w:val="000000"/>
          <w:sz w:val="28"/>
          <w:szCs w:val="28"/>
          <w:highlight w:val="white"/>
        </w:rPr>
        <w:t>y Luật này có hiệu lực thi hành”.</w:t>
      </w:r>
    </w:p>
    <w:p w:rsidR="00064174" w:rsidRDefault="00966D7D">
      <w:pPr>
        <w:spacing w:before="120" w:after="120" w:line="264"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 xml:space="preserve">- Luật Cán bộ, công chức năm 2025, </w:t>
      </w:r>
      <w:r>
        <w:rPr>
          <w:rFonts w:ascii="Times New Roman" w:eastAsia="Times New Roman" w:hAnsi="Times New Roman" w:cs="Times New Roman"/>
          <w:color w:val="000000"/>
          <w:sz w:val="28"/>
          <w:szCs w:val="28"/>
        </w:rPr>
        <w:t>Nghị định số 150/2025/NĐ-CP ngày 12/6/2025 của Chính phủ</w:t>
      </w:r>
      <w:r>
        <w:rPr>
          <w:rFonts w:ascii="Times New Roman" w:eastAsia="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quy định tổ chức các cơ quan chuyên môn thuộc Ủy ban nhân dân tỉnh, thành phố trực thuộc trung ương và Ủy ban nhân dân xã, phường, đặc khu thuộc tỉnh, thành phố trực thuộc </w:t>
      </w:r>
      <w:r>
        <w:rPr>
          <w:rFonts w:ascii="Times New Roman" w:eastAsia="Times New Roman" w:hAnsi="Times New Roman" w:cs="Times New Roman"/>
          <w:sz w:val="28"/>
          <w:szCs w:val="28"/>
        </w:rPr>
        <w:t>T</w:t>
      </w:r>
      <w:r>
        <w:rPr>
          <w:rFonts w:ascii="Times New Roman" w:eastAsia="Times New Roman" w:hAnsi="Times New Roman" w:cs="Times New Roman"/>
          <w:color w:val="000000"/>
          <w:sz w:val="28"/>
          <w:szCs w:val="28"/>
        </w:rPr>
        <w:t>rung ương,</w:t>
      </w:r>
      <w:r>
        <w:rPr>
          <w:rFonts w:ascii="Times New Roman" w:eastAsia="Times New Roman" w:hAnsi="Times New Roman" w:cs="Times New Roman"/>
          <w:sz w:val="28"/>
          <w:szCs w:val="28"/>
        </w:rPr>
        <w:t xml:space="preserve"> yêu cầu </w:t>
      </w:r>
      <w:r>
        <w:rPr>
          <w:rFonts w:ascii="Times New Roman" w:eastAsia="Times New Roman" w:hAnsi="Times New Roman" w:cs="Times New Roman"/>
          <w:color w:val="000000"/>
          <w:sz w:val="28"/>
          <w:szCs w:val="28"/>
        </w:rPr>
        <w:t>cần nâng cao điều kiện, tiêu chuẩn cho công chức hộ tịch c</w:t>
      </w:r>
      <w:r>
        <w:rPr>
          <w:rFonts w:ascii="Times New Roman" w:eastAsia="Times New Roman" w:hAnsi="Times New Roman" w:cs="Times New Roman"/>
          <w:sz w:val="28"/>
          <w:szCs w:val="28"/>
        </w:rPr>
        <w:t xml:space="preserve">ấp xã </w:t>
      </w:r>
      <w:r>
        <w:rPr>
          <w:rFonts w:ascii="Times New Roman" w:eastAsia="Times New Roman" w:hAnsi="Times New Roman" w:cs="Times New Roman"/>
          <w:color w:val="000000"/>
          <w:sz w:val="28"/>
          <w:szCs w:val="28"/>
        </w:rPr>
        <w:t>bảo đảm đáp ứng yêu cầu công việc</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 xml:space="preserve"> nhiệm vụ đẩy mạnh đăng ký, quản lý hộ tịch trên nền tảng số.</w:t>
      </w:r>
    </w:p>
    <w:p w:rsidR="00064174" w:rsidRDefault="00966D7D">
      <w:pPr>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Luật Căn cước năm 2023 quy định Cơ sở dữ liệu hộ tịch điện tử (CSDLHTĐT) là nguồn cung cấp thông tin cho Cơ sở dữ liệu quốc gia về dân cư (CSDLQGVDC).</w:t>
      </w:r>
    </w:p>
    <w:p w:rsidR="00064174" w:rsidRDefault="00966D7D">
      <w:pPr>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Luật </w:t>
      </w:r>
      <w:r>
        <w:rPr>
          <w:rFonts w:ascii="Times New Roman" w:eastAsia="Times New Roman" w:hAnsi="Times New Roman" w:cs="Times New Roman"/>
          <w:sz w:val="28"/>
          <w:szCs w:val="28"/>
        </w:rPr>
        <w:t xml:space="preserve">Giao dịch điện tử năm 2023 quy định: </w:t>
      </w:r>
      <w:r>
        <w:rPr>
          <w:rFonts w:ascii="Times New Roman" w:eastAsia="Times New Roman" w:hAnsi="Times New Roman" w:cs="Times New Roman"/>
          <w:i/>
          <w:iCs/>
          <w:sz w:val="28"/>
          <w:szCs w:val="28"/>
        </w:rPr>
        <w:t>“Cơ quan nhà nước phải bảo đảm kết quả giải quyết thủ tục hành chính hoặc kết quả hoạt động công vụ khác không thuộc phạm vi bí mật nhà nước đều có văn bản điện tử có giá trị pháp lý như văn bản giấy, có thể truy cập và</w:t>
      </w:r>
      <w:r>
        <w:rPr>
          <w:rFonts w:ascii="Times New Roman" w:eastAsia="Times New Roman" w:hAnsi="Times New Roman" w:cs="Times New Roman"/>
          <w:i/>
          <w:iCs/>
          <w:sz w:val="28"/>
          <w:szCs w:val="28"/>
        </w:rPr>
        <w:t xml:space="preserve"> sử dụng được dưới dạng hoàn chỉnh. Cơ quan nhà nước phải tiếp nhận, giải quyết yêu cầu của tổ chức, cá nhân trên môi trường điện tử, trừ trường hợp pháp luật có quy định khác. Các lĩnh vực hoạt động của cơ quan nhà nước ưu tiên thực hiện toàn trình trên m</w:t>
      </w:r>
      <w:r>
        <w:rPr>
          <w:rFonts w:ascii="Times New Roman" w:eastAsia="Times New Roman" w:hAnsi="Times New Roman" w:cs="Times New Roman"/>
          <w:i/>
          <w:iCs/>
          <w:sz w:val="28"/>
          <w:szCs w:val="28"/>
        </w:rPr>
        <w:t>ôi trường điện tử, trong đó bao gồm cung cấp dịch vụ công”.</w:t>
      </w:r>
      <w:r>
        <w:rPr>
          <w:rFonts w:ascii="Times New Roman" w:eastAsia="Times New Roman" w:hAnsi="Times New Roman" w:cs="Times New Roman"/>
          <w:sz w:val="28"/>
          <w:szCs w:val="28"/>
        </w:rPr>
        <w:t xml:space="preserve"> </w:t>
      </w:r>
    </w:p>
    <w:p w:rsidR="00064174" w:rsidRDefault="00966D7D">
      <w:pPr>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Nghị quyết số 142/2024/QH15, kỳ họp thứ 7, Quốc hội khoá XV có quy định: </w:t>
      </w:r>
      <w:r>
        <w:rPr>
          <w:rFonts w:ascii="Times New Roman" w:eastAsia="Times New Roman" w:hAnsi="Times New Roman" w:cs="Times New Roman"/>
          <w:i/>
          <w:iCs/>
          <w:sz w:val="28"/>
          <w:szCs w:val="28"/>
        </w:rPr>
        <w:t>“..., triển khai thí điểm mô hình Bộ phận một cửa theo hướng kết hợp cung cấp dịch vụ hành chính công của các đơn vị hàn</w:t>
      </w:r>
      <w:r>
        <w:rPr>
          <w:rFonts w:ascii="Times New Roman" w:eastAsia="Times New Roman" w:hAnsi="Times New Roman" w:cs="Times New Roman"/>
          <w:i/>
          <w:iCs/>
          <w:sz w:val="28"/>
          <w:szCs w:val="28"/>
        </w:rPr>
        <w:t>h chính trên địa bàn một số tỉnh, thành phố trực thuộc trung ương trong năm 2024 để tổng kết, nhân rộng nhằm tạo thuận lợi nhất cho người dân, doanh nghiệp tiếp cận và thực hiện thủ tục hành chính, dịch vụ công không phụ thuộc địa giới hành chính”.</w:t>
      </w:r>
    </w:p>
    <w:p w:rsidR="00064174" w:rsidRDefault="00966D7D">
      <w:pPr>
        <w:spacing w:before="120" w:after="120" w:line="264" w:lineRule="auto"/>
        <w:ind w:firstLine="567"/>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sz w:val="28"/>
          <w:szCs w:val="28"/>
        </w:rPr>
        <w:t xml:space="preserve">- Nghị </w:t>
      </w:r>
      <w:r>
        <w:rPr>
          <w:rFonts w:ascii="Times New Roman" w:eastAsia="Times New Roman" w:hAnsi="Times New Roman" w:cs="Times New Roman"/>
          <w:sz w:val="28"/>
          <w:szCs w:val="28"/>
        </w:rPr>
        <w:t xml:space="preserve">quyết số 190/2025/QH15 ngày 19/02/2025 của Quốc hội quy định về xử lý một số vấn đề liên quan đến sắp xếp tổ chức bộ máy nhà nước, yêu cầu: </w:t>
      </w:r>
      <w:r>
        <w:rPr>
          <w:rFonts w:ascii="Times New Roman" w:eastAsia="Times New Roman" w:hAnsi="Times New Roman" w:cs="Times New Roman"/>
          <w:i/>
          <w:iCs/>
          <w:sz w:val="28"/>
          <w:szCs w:val="28"/>
        </w:rPr>
        <w:t>“</w:t>
      </w:r>
      <w:r>
        <w:rPr>
          <w:rFonts w:ascii="Times New Roman" w:eastAsia="Times New Roman" w:hAnsi="Times New Roman" w:cs="Times New Roman"/>
          <w:i/>
          <w:iCs/>
          <w:color w:val="000000"/>
          <w:sz w:val="28"/>
          <w:szCs w:val="28"/>
          <w:highlight w:val="white"/>
        </w:rPr>
        <w:t xml:space="preserve">Cơ quan, người có thẩm quyền phải ban hành văn bản quy phạm pháp luật theo thẩm quyền hoặc trình cấp có thẩm quyền </w:t>
      </w:r>
      <w:r>
        <w:rPr>
          <w:rFonts w:ascii="Times New Roman" w:eastAsia="Times New Roman" w:hAnsi="Times New Roman" w:cs="Times New Roman"/>
          <w:i/>
          <w:iCs/>
          <w:color w:val="000000"/>
          <w:sz w:val="28"/>
          <w:szCs w:val="28"/>
          <w:highlight w:val="white"/>
        </w:rPr>
        <w:t>ban hành văn bản quy phạm pháp luật theo trình tự, thủ tục rút gọn để xử lý các văn bản chịu sự tác động do sắp xếp tổ chức bộ máy nhà nước, bảo đảm hoàn thành trước ngày 01 tháng 3 năm 2027”</w:t>
      </w:r>
      <w:r>
        <w:rPr>
          <w:rFonts w:ascii="Times New Roman" w:eastAsia="Times New Roman" w:hAnsi="Times New Roman" w:cs="Times New Roman"/>
          <w:color w:val="000000"/>
          <w:sz w:val="28"/>
          <w:szCs w:val="28"/>
          <w:highlight w:val="white"/>
        </w:rPr>
        <w:t>.</w:t>
      </w:r>
    </w:p>
    <w:p w:rsidR="00064174" w:rsidRDefault="00966D7D">
      <w:pPr>
        <w:spacing w:before="120" w:after="120" w:line="264"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Nghị quyết 105/2025/UBTVQH15 ngày 26/9/2025 của Uỷ ban Thường</w:t>
      </w:r>
      <w:r>
        <w:rPr>
          <w:rFonts w:ascii="Times New Roman" w:eastAsia="Times New Roman" w:hAnsi="Times New Roman" w:cs="Times New Roman"/>
          <w:color w:val="000000"/>
          <w:sz w:val="28"/>
          <w:szCs w:val="28"/>
        </w:rPr>
        <w:t xml:space="preserve"> vụ Quốc hội về Chương trình lập pháp năm 2026 đã giao Chính phủ trình Quốc hội </w:t>
      </w:r>
      <w:r>
        <w:rPr>
          <w:rFonts w:ascii="Times New Roman" w:eastAsia="Times New Roman" w:hAnsi="Times New Roman" w:cs="Times New Roman"/>
          <w:color w:val="000000"/>
          <w:sz w:val="28"/>
          <w:szCs w:val="28"/>
        </w:rPr>
        <w:lastRenderedPageBreak/>
        <w:t xml:space="preserve">xem xét, thông qua tại Kỳ họp thứ nhất, Quốc hội khóa XVI (tháng 4/2026) dự án Luật Hộ tịch (sửa đổi). </w:t>
      </w:r>
    </w:p>
    <w:p w:rsidR="00064174" w:rsidRPr="00966D7D" w:rsidRDefault="00966D7D">
      <w:pPr>
        <w:pBdr>
          <w:top w:val="nil"/>
          <w:left w:val="nil"/>
          <w:bottom w:val="nil"/>
          <w:right w:val="nil"/>
          <w:between w:val="nil"/>
        </w:pBdr>
        <w:spacing w:before="120" w:after="120" w:line="264" w:lineRule="auto"/>
        <w:ind w:firstLine="567"/>
        <w:jc w:val="both"/>
        <w:rPr>
          <w:rFonts w:ascii="Times New Roman" w:eastAsia="Times New Roman" w:hAnsi="Times New Roman" w:cs="Times New Roman"/>
          <w:color w:val="000000"/>
          <w:spacing w:val="-2"/>
          <w:sz w:val="28"/>
          <w:szCs w:val="28"/>
        </w:rPr>
      </w:pPr>
      <w:r w:rsidRPr="00966D7D">
        <w:rPr>
          <w:rFonts w:ascii="Times New Roman" w:eastAsia="Times New Roman" w:hAnsi="Times New Roman" w:cs="Times New Roman"/>
          <w:color w:val="000000"/>
          <w:spacing w:val="-2"/>
          <w:sz w:val="28"/>
          <w:szCs w:val="28"/>
        </w:rPr>
        <w:t>- Nghị quyết 76/NQ-CP ngày 15/7/2021 của Chính phủ ban hành Chương trình</w:t>
      </w:r>
      <w:r w:rsidRPr="00966D7D">
        <w:rPr>
          <w:rFonts w:ascii="Times New Roman" w:eastAsia="Times New Roman" w:hAnsi="Times New Roman" w:cs="Times New Roman"/>
          <w:color w:val="000000"/>
          <w:spacing w:val="-2"/>
          <w:sz w:val="28"/>
          <w:szCs w:val="28"/>
        </w:rPr>
        <w:t xml:space="preserve"> tổng thể cải cách hành chính Nhà nước giai đoạn 2021- 2030 với các mục tiêu liên quan đến cải cách thủ tục hành chính, y</w:t>
      </w:r>
      <w:r w:rsidRPr="00966D7D">
        <w:rPr>
          <w:rFonts w:ascii="Times New Roman" w:eastAsia="Times New Roman" w:hAnsi="Times New Roman" w:cs="Times New Roman"/>
          <w:spacing w:val="-2"/>
          <w:sz w:val="28"/>
          <w:szCs w:val="28"/>
        </w:rPr>
        <w:t>êu cầu</w:t>
      </w:r>
      <w:r w:rsidRPr="00966D7D">
        <w:rPr>
          <w:rFonts w:ascii="Times New Roman" w:eastAsia="Times New Roman" w:hAnsi="Times New Roman" w:cs="Times New Roman"/>
          <w:color w:val="000000"/>
          <w:spacing w:val="-2"/>
          <w:sz w:val="28"/>
          <w:szCs w:val="28"/>
        </w:rPr>
        <w:t xml:space="preserve">: </w:t>
      </w:r>
      <w:r w:rsidRPr="00966D7D">
        <w:rPr>
          <w:rFonts w:ascii="Times New Roman" w:eastAsia="Times New Roman" w:hAnsi="Times New Roman" w:cs="Times New Roman"/>
          <w:i/>
          <w:iCs/>
          <w:color w:val="000000"/>
          <w:spacing w:val="-2"/>
          <w:sz w:val="28"/>
          <w:szCs w:val="28"/>
        </w:rPr>
        <w:t>“… Đẩy mạnh thực hiện thủ tục hành chính trên môi trường điện tử để người dân, doanh nghiệp có thể thực hiện dịch vụ mọi lúc, m</w:t>
      </w:r>
      <w:r w:rsidRPr="00966D7D">
        <w:rPr>
          <w:rFonts w:ascii="Times New Roman" w:eastAsia="Times New Roman" w:hAnsi="Times New Roman" w:cs="Times New Roman"/>
          <w:i/>
          <w:iCs/>
          <w:color w:val="000000"/>
          <w:spacing w:val="-2"/>
          <w:sz w:val="28"/>
          <w:szCs w:val="28"/>
        </w:rPr>
        <w:t xml:space="preserve">ọi nơi, trên các phương tiện khác nhau”; “…Loại bỏ các thành phần hồ sơ không cần thiết, không hợp lý; tích hợp, cắt giảm mạnh các mẫu đơn, tờ khai và các giấy tờ không cần thiết hoặc có nội dung thông tin trùng lặp trên cơ sở ứng dụng các công nghệ số và </w:t>
      </w:r>
      <w:r w:rsidRPr="00966D7D">
        <w:rPr>
          <w:rFonts w:ascii="Times New Roman" w:eastAsia="Times New Roman" w:hAnsi="Times New Roman" w:cs="Times New Roman"/>
          <w:i/>
          <w:iCs/>
          <w:color w:val="000000"/>
          <w:spacing w:val="-2"/>
          <w:sz w:val="28"/>
          <w:szCs w:val="28"/>
        </w:rPr>
        <w:t>các cơ sở dữ liệu sẵn có”; “Đẩy mạnh phân cấp trong giải quyết thủ tục hành chính theo hướng cấp nào sát cơ sở, sát nhân dân nhất thì giao cho cấp đó giải quyết, đảm bảo nguyên tắc quản lý ngành, lãnh thổ, không để tình trạng nhiều tầng nấc, kéo dài thời g</w:t>
      </w:r>
      <w:r w:rsidRPr="00966D7D">
        <w:rPr>
          <w:rFonts w:ascii="Times New Roman" w:eastAsia="Times New Roman" w:hAnsi="Times New Roman" w:cs="Times New Roman"/>
          <w:i/>
          <w:iCs/>
          <w:color w:val="000000"/>
          <w:spacing w:val="-2"/>
          <w:sz w:val="28"/>
          <w:szCs w:val="28"/>
        </w:rPr>
        <w:t>ian giải quyết và gây nhũng nhiễu, tiêu cực, phiền hà cho nhân dân”</w:t>
      </w:r>
      <w:r w:rsidRPr="00966D7D">
        <w:rPr>
          <w:rFonts w:ascii="Times New Roman" w:eastAsia="Times New Roman" w:hAnsi="Times New Roman" w:cs="Times New Roman"/>
          <w:color w:val="000000"/>
          <w:spacing w:val="-2"/>
          <w:sz w:val="28"/>
          <w:szCs w:val="28"/>
        </w:rPr>
        <w:t xml:space="preserve">; </w:t>
      </w:r>
      <w:r w:rsidRPr="00966D7D">
        <w:rPr>
          <w:rFonts w:ascii="Times New Roman" w:eastAsia="Times New Roman" w:hAnsi="Times New Roman" w:cs="Times New Roman"/>
          <w:i/>
          <w:iCs/>
          <w:color w:val="000000"/>
          <w:spacing w:val="-2"/>
          <w:sz w:val="28"/>
          <w:szCs w:val="28"/>
        </w:rPr>
        <w:t>“Cơ cấu, sắp xếp lại đội ngũ cán bộ, công chức, viên chức các cấp, các ngành theo vị trí việc làm, khung năng lực, bảo đảm đúng người, đúng việc, nâng cao chất lượng, hợp lý về cơ cấu”</w:t>
      </w:r>
      <w:r w:rsidRPr="00966D7D">
        <w:rPr>
          <w:rFonts w:ascii="Times New Roman" w:eastAsia="Times New Roman" w:hAnsi="Times New Roman" w:cs="Times New Roman"/>
          <w:color w:val="000000"/>
          <w:spacing w:val="-2"/>
          <w:sz w:val="28"/>
          <w:szCs w:val="28"/>
        </w:rPr>
        <w:t>.</w:t>
      </w:r>
    </w:p>
    <w:p w:rsidR="00064174" w:rsidRDefault="00966D7D">
      <w:pPr>
        <w:spacing w:before="120" w:after="120" w:line="264" w:lineRule="auto"/>
        <w:ind w:firstLine="567"/>
        <w:jc w:val="both"/>
        <w:rPr>
          <w:rFonts w:ascii="Times New Roman" w:eastAsia="Times New Roman" w:hAnsi="Times New Roman" w:cs="Times New Roman"/>
          <w:i/>
          <w:iCs/>
          <w:sz w:val="28"/>
          <w:szCs w:val="28"/>
        </w:rPr>
      </w:pPr>
      <w:r>
        <w:rPr>
          <w:rFonts w:ascii="Times New Roman" w:eastAsia="Times New Roman" w:hAnsi="Times New Roman" w:cs="Times New Roman"/>
          <w:sz w:val="28"/>
          <w:szCs w:val="28"/>
        </w:rPr>
        <w:t>- Nghị quyết số 66.7/2025/NQ-CP ngày 15/11/2025 của Chính phủ quy định cắt giảm, đơn giản hóa TTHC dựa trên dữ liệu, yêu cầu:</w:t>
      </w:r>
      <w:r>
        <w:rPr>
          <w:rFonts w:ascii="Times New Roman" w:eastAsia="Times New Roman" w:hAnsi="Times New Roman" w:cs="Times New Roman"/>
          <w:i/>
          <w:iCs/>
          <w:sz w:val="28"/>
          <w:szCs w:val="28"/>
        </w:rPr>
        <w:t xml:space="preserve"> “Cơ quan tiếp nhận, giải quyết TTHC khai thác, sử dụng thông tin đã có trong các cơ sở dữ liệu để thay thế thành phần hồ sơ giải q</w:t>
      </w:r>
      <w:r>
        <w:rPr>
          <w:rFonts w:ascii="Times New Roman" w:eastAsia="Times New Roman" w:hAnsi="Times New Roman" w:cs="Times New Roman"/>
          <w:i/>
          <w:iCs/>
          <w:sz w:val="28"/>
          <w:szCs w:val="28"/>
        </w:rPr>
        <w:t>uyết TTHC”; “Thông tin trên Cơ sở dữ liệu hộ tịch điện tử được khai thác và sử dụng thay thế các giấy tờ sau …".</w:t>
      </w:r>
    </w:p>
    <w:p w:rsidR="00064174" w:rsidRDefault="00966D7D">
      <w:pPr>
        <w:spacing w:before="120" w:after="120" w:line="264" w:lineRule="auto"/>
        <w:ind w:firstLine="567"/>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 Cơ sở thực tiễn</w:t>
      </w:r>
    </w:p>
    <w:p w:rsidR="00064174" w:rsidRDefault="00966D7D">
      <w:pPr>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Triển khai thi hành Luật Hộ tịch năm 2014,</w:t>
      </w:r>
      <w:r>
        <w:rPr>
          <w:rFonts w:ascii="Times New Roman" w:eastAsia="Times New Roman" w:hAnsi="Times New Roman" w:cs="Times New Roman"/>
          <w:b/>
          <w:bCs/>
          <w:sz w:val="28"/>
          <w:szCs w:val="28"/>
        </w:rPr>
        <w:t xml:space="preserve"> </w:t>
      </w:r>
      <w:r>
        <w:rPr>
          <w:rFonts w:ascii="Times New Roman" w:eastAsia="Times New Roman" w:hAnsi="Times New Roman" w:cs="Times New Roman"/>
          <w:sz w:val="28"/>
          <w:szCs w:val="28"/>
        </w:rPr>
        <w:t>công tác đăng ký, quản lý hộ tịch có những bước chuyển biến tích cực, ngày càng n</w:t>
      </w:r>
      <w:r>
        <w:rPr>
          <w:rFonts w:ascii="Times New Roman" w:eastAsia="Times New Roman" w:hAnsi="Times New Roman" w:cs="Times New Roman"/>
          <w:sz w:val="28"/>
          <w:szCs w:val="28"/>
        </w:rPr>
        <w:t>ền nếp, hiệu quả; hệ thống quy định pháp luật về hộ tịch liên tục được hoàn thiện</w:t>
      </w:r>
      <w:r>
        <w:rPr>
          <w:rFonts w:ascii="Times New Roman" w:eastAsia="Times New Roman" w:hAnsi="Times New Roman" w:cs="Times New Roman"/>
          <w:sz w:val="28"/>
          <w:szCs w:val="28"/>
          <w:vertAlign w:val="superscript"/>
        </w:rPr>
        <w:footnoteReference w:id="1"/>
      </w:r>
      <w:r>
        <w:rPr>
          <w:rFonts w:ascii="Times New Roman" w:eastAsia="Times New Roman" w:hAnsi="Times New Roman" w:cs="Times New Roman"/>
          <w:sz w:val="28"/>
          <w:szCs w:val="28"/>
        </w:rPr>
        <w:t>; đội ngũ công chức làm công tác hộ tịch, hệ thống cơ quan đăng ký, quản lý hộ tịch được củng cố cả về biên chế, chất lượng, năng lực</w:t>
      </w:r>
      <w:r>
        <w:rPr>
          <w:rFonts w:ascii="Times New Roman" w:eastAsia="Times New Roman" w:hAnsi="Times New Roman" w:cs="Times New Roman"/>
          <w:sz w:val="28"/>
          <w:szCs w:val="28"/>
          <w:vertAlign w:val="superscript"/>
        </w:rPr>
        <w:footnoteReference w:id="2"/>
      </w:r>
      <w:r>
        <w:rPr>
          <w:rFonts w:ascii="Times New Roman" w:eastAsia="Times New Roman" w:hAnsi="Times New Roman" w:cs="Times New Roman"/>
          <w:sz w:val="28"/>
          <w:szCs w:val="28"/>
        </w:rPr>
        <w:t>; CSDLHTĐT được xây dựng, hoàn thiện với</w:t>
      </w:r>
      <w:r>
        <w:rPr>
          <w:rFonts w:ascii="Times New Roman" w:eastAsia="Times New Roman" w:hAnsi="Times New Roman" w:cs="Times New Roman"/>
          <w:sz w:val="28"/>
          <w:szCs w:val="28"/>
        </w:rPr>
        <w:t xml:space="preserve"> trên 145 triệu dữ liệu hộ tịch được cơ quan có thẩm quyền đăng ký, xác nhận từ đầu thế kỷ XX đến nay, với cốt lõi là Hệ thống đăng ký, quản lý hộ tịch điện tử dùng chung</w:t>
      </w:r>
      <w:r>
        <w:rPr>
          <w:rFonts w:ascii="Times New Roman" w:eastAsia="Times New Roman" w:hAnsi="Times New Roman" w:cs="Times New Roman"/>
          <w:sz w:val="28"/>
          <w:szCs w:val="28"/>
          <w:vertAlign w:val="superscript"/>
        </w:rPr>
        <w:footnoteReference w:id="3"/>
      </w:r>
      <w:r>
        <w:rPr>
          <w:rFonts w:ascii="Times New Roman" w:eastAsia="Times New Roman" w:hAnsi="Times New Roman" w:cs="Times New Roman"/>
          <w:sz w:val="28"/>
          <w:szCs w:val="28"/>
        </w:rPr>
        <w:t>, kết nối, chia sẻ với CSDLQGVDC, bảo đảm khả năng tiếp nhận thông tin điện tử từ các</w:t>
      </w:r>
      <w:r>
        <w:rPr>
          <w:rFonts w:ascii="Times New Roman" w:eastAsia="Times New Roman" w:hAnsi="Times New Roman" w:cs="Times New Roman"/>
          <w:sz w:val="28"/>
          <w:szCs w:val="28"/>
        </w:rPr>
        <w:t xml:space="preserve"> hệ thống, cơ sở dữ liệu quốc gia, bộ, ngành khác phục vụ đăng ký hộ tịch, quản lý nhà nước về dân cư, an sinh xã hội …; quản lý nhà nước về hộ tịch từng </w:t>
      </w:r>
      <w:r>
        <w:rPr>
          <w:rFonts w:ascii="Times New Roman" w:eastAsia="Times New Roman" w:hAnsi="Times New Roman" w:cs="Times New Roman"/>
          <w:sz w:val="28"/>
          <w:szCs w:val="28"/>
        </w:rPr>
        <w:lastRenderedPageBreak/>
        <w:t xml:space="preserve">bước đổi mới, đi vào chiều sâu, toàn diện hơn, phục vụ hiệu quả hoạt động quản lý nhà nước. </w:t>
      </w:r>
    </w:p>
    <w:p w:rsidR="00064174" w:rsidRDefault="00966D7D">
      <w:pPr>
        <w:widowControl w:val="0"/>
        <w:spacing w:before="120" w:after="120" w:line="264"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Qua 6 thá</w:t>
      </w:r>
      <w:r>
        <w:rPr>
          <w:rFonts w:ascii="Times New Roman" w:eastAsia="Times New Roman" w:hAnsi="Times New Roman" w:cs="Times New Roman"/>
          <w:sz w:val="28"/>
          <w:szCs w:val="28"/>
          <w:highlight w:val="white"/>
        </w:rPr>
        <w:t xml:space="preserve">ng triển khai thực hiện các nhiệm vụ về phân quyền, phân cấp, phân định thẩm quyền theo các cơ sở chính trị, pháp lý nêu tại mục 1, các </w:t>
      </w:r>
      <w:r>
        <w:rPr>
          <w:rFonts w:ascii="Times New Roman" w:eastAsia="Times New Roman" w:hAnsi="Times New Roman" w:cs="Times New Roman"/>
          <w:sz w:val="28"/>
          <w:szCs w:val="28"/>
        </w:rPr>
        <w:t>Nghị định số 120/2025/NĐ-CP, Nghị định số 121/2025/NĐ-CP</w:t>
      </w:r>
      <w:r>
        <w:rPr>
          <w:rFonts w:ascii="Times New Roman" w:eastAsia="Times New Roman" w:hAnsi="Times New Roman" w:cs="Times New Roman"/>
          <w:sz w:val="28"/>
          <w:szCs w:val="28"/>
          <w:highlight w:val="white"/>
        </w:rPr>
        <w:t>, các kết quả kiểm tra, đánh giá cho thấy việc thực hiện các nhi</w:t>
      </w:r>
      <w:r>
        <w:rPr>
          <w:rFonts w:ascii="Times New Roman" w:eastAsia="Times New Roman" w:hAnsi="Times New Roman" w:cs="Times New Roman"/>
          <w:sz w:val="28"/>
          <w:szCs w:val="28"/>
          <w:highlight w:val="white"/>
        </w:rPr>
        <w:t xml:space="preserve">ệm vụ này trong lĩnh vực hộ tịch cơ bản bảo đảm tính khả thi, các địa phương không có kiến nghị, phản ánh liên quan đến quy định của pháp luật về phân quyền, phân cấp trong lĩnh vực hộ tịch; chỉ có một số ý kiến liên quan đến hướng dẫn </w:t>
      </w:r>
      <w:r>
        <w:rPr>
          <w:rFonts w:ascii="Times New Roman" w:eastAsia="Times New Roman" w:hAnsi="Times New Roman" w:cs="Times New Roman"/>
          <w:sz w:val="28"/>
          <w:szCs w:val="28"/>
        </w:rPr>
        <w:t xml:space="preserve">cụ thể về việc thực </w:t>
      </w:r>
      <w:r>
        <w:rPr>
          <w:rFonts w:ascii="Times New Roman" w:eastAsia="Times New Roman" w:hAnsi="Times New Roman" w:cs="Times New Roman"/>
          <w:sz w:val="28"/>
          <w:szCs w:val="28"/>
        </w:rPr>
        <w:t>hiện nhiệm vụ xem xét, phê duyệt các đề nghị xóa dữ liệu hộ tịch điện tử trên Phần mềm đăng ký, quản lý hộ tịch điện tử của Bộ Tư pháp</w:t>
      </w:r>
      <w:r>
        <w:rPr>
          <w:rFonts w:ascii="Times New Roman" w:eastAsia="Times New Roman" w:hAnsi="Times New Roman" w:cs="Times New Roman"/>
          <w:sz w:val="28"/>
          <w:szCs w:val="28"/>
          <w:highlight w:val="white"/>
          <w:vertAlign w:val="superscript"/>
        </w:rPr>
        <w:footnoteReference w:id="4"/>
      </w:r>
      <w:r>
        <w:rPr>
          <w:rFonts w:ascii="Times New Roman" w:eastAsia="Times New Roman" w:hAnsi="Times New Roman" w:cs="Times New Roman"/>
          <w:sz w:val="28"/>
          <w:szCs w:val="28"/>
          <w:highlight w:val="white"/>
        </w:rPr>
        <w:t xml:space="preserve">. </w:t>
      </w:r>
    </w:p>
    <w:p w:rsidR="00064174" w:rsidRDefault="00966D7D">
      <w:pPr>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Trước yêu cầu ngày càng cao của công cuộc cải cách tư pháp, cải cách hành chính, tổ chức, sắp xếp lại bộ máy, đẩy mạnh chuyển đổi số, công tác đăng ký, quản lý hộ tịch cũng cho thấy còn một số hạn chế, bất cập như: </w:t>
      </w:r>
    </w:p>
    <w:p w:rsidR="00064174" w:rsidRDefault="00966D7D">
      <w:pPr>
        <w:spacing w:before="120" w:after="120" w:line="264"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(i)</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sz w:val="28"/>
          <w:szCs w:val="28"/>
        </w:rPr>
        <w:t>Nhiều</w:t>
      </w:r>
      <w:r>
        <w:rPr>
          <w:rFonts w:ascii="Times New Roman" w:eastAsia="Times New Roman" w:hAnsi="Times New Roman" w:cs="Times New Roman"/>
          <w:color w:val="000000"/>
          <w:sz w:val="28"/>
          <w:szCs w:val="28"/>
        </w:rPr>
        <w:t xml:space="preserve"> quy định </w:t>
      </w:r>
      <w:r>
        <w:rPr>
          <w:rFonts w:ascii="Times New Roman" w:eastAsia="Times New Roman" w:hAnsi="Times New Roman" w:cs="Times New Roman"/>
          <w:sz w:val="28"/>
          <w:szCs w:val="28"/>
        </w:rPr>
        <w:t>của</w:t>
      </w:r>
      <w:r>
        <w:rPr>
          <w:rFonts w:ascii="Times New Roman" w:eastAsia="Times New Roman" w:hAnsi="Times New Roman" w:cs="Times New Roman"/>
          <w:color w:val="000000"/>
          <w:sz w:val="28"/>
          <w:szCs w:val="28"/>
        </w:rPr>
        <w:t xml:space="preserve"> Luật Hộ tịch </w:t>
      </w:r>
      <w:r>
        <w:rPr>
          <w:rFonts w:ascii="Times New Roman" w:eastAsia="Times New Roman" w:hAnsi="Times New Roman" w:cs="Times New Roman"/>
          <w:sz w:val="28"/>
          <w:szCs w:val="28"/>
        </w:rPr>
        <w:t>khôn</w:t>
      </w:r>
      <w:r>
        <w:rPr>
          <w:rFonts w:ascii="Times New Roman" w:eastAsia="Times New Roman" w:hAnsi="Times New Roman" w:cs="Times New Roman"/>
          <w:sz w:val="28"/>
          <w:szCs w:val="28"/>
        </w:rPr>
        <w:t xml:space="preserve">g </w:t>
      </w:r>
      <w:r>
        <w:rPr>
          <w:rFonts w:ascii="Times New Roman" w:eastAsia="Times New Roman" w:hAnsi="Times New Roman" w:cs="Times New Roman"/>
          <w:color w:val="000000"/>
          <w:sz w:val="28"/>
          <w:szCs w:val="28"/>
        </w:rPr>
        <w:t>phù hợp với yêu cầu tổ chức, sắp xếp lại bộ máy</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 xml:space="preserve"> trong </w:t>
      </w:r>
      <w:r>
        <w:rPr>
          <w:rFonts w:ascii="Times New Roman" w:eastAsia="Times New Roman" w:hAnsi="Times New Roman" w:cs="Times New Roman"/>
          <w:sz w:val="28"/>
          <w:szCs w:val="28"/>
        </w:rPr>
        <w:t xml:space="preserve">đó: </w:t>
      </w:r>
      <w:r>
        <w:rPr>
          <w:rFonts w:ascii="Times New Roman" w:eastAsia="Times New Roman" w:hAnsi="Times New Roman" w:cs="Times New Roman"/>
          <w:color w:val="000000"/>
          <w:sz w:val="28"/>
          <w:szCs w:val="28"/>
        </w:rPr>
        <w:t>26/77 Điều c</w:t>
      </w:r>
      <w:r>
        <w:rPr>
          <w:rFonts w:ascii="Times New Roman" w:eastAsia="Times New Roman" w:hAnsi="Times New Roman" w:cs="Times New Roman"/>
          <w:sz w:val="28"/>
          <w:szCs w:val="28"/>
        </w:rPr>
        <w:t xml:space="preserve">ủa Luật </w:t>
      </w:r>
      <w:r>
        <w:rPr>
          <w:rFonts w:ascii="Times New Roman" w:eastAsia="Times New Roman" w:hAnsi="Times New Roman" w:cs="Times New Roman"/>
          <w:color w:val="000000"/>
          <w:sz w:val="28"/>
          <w:szCs w:val="28"/>
        </w:rPr>
        <w:t>có quy định liên quan đến thẩm quyền đăng ký hộ tịch, trách nhiệm quản lý nhà nước trong lĩnh vực hộ tịch của Ủy ban nhân dân cấp huyện cần phải sửa đổi, bổ sung ho</w:t>
      </w:r>
      <w:r>
        <w:rPr>
          <w:rFonts w:ascii="Times New Roman" w:eastAsia="Times New Roman" w:hAnsi="Times New Roman" w:cs="Times New Roman"/>
          <w:sz w:val="28"/>
          <w:szCs w:val="28"/>
        </w:rPr>
        <w:t>ặc bãi bỏ</w:t>
      </w:r>
      <w:r>
        <w:rPr>
          <w:rFonts w:ascii="Times New Roman" w:eastAsia="Times New Roman" w:hAnsi="Times New Roman" w:cs="Times New Roman"/>
          <w:color w:val="000000"/>
          <w:sz w:val="28"/>
          <w:szCs w:val="28"/>
        </w:rPr>
        <w:t>.</w:t>
      </w:r>
    </w:p>
    <w:p w:rsidR="00064174" w:rsidRDefault="00966D7D">
      <w:pPr>
        <w:spacing w:before="120" w:after="120" w:line="264"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(ii)</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sz w:val="28"/>
          <w:szCs w:val="28"/>
        </w:rPr>
        <w:t>T</w:t>
      </w:r>
      <w:r>
        <w:rPr>
          <w:rFonts w:ascii="Times New Roman" w:eastAsia="Times New Roman" w:hAnsi="Times New Roman" w:cs="Times New Roman"/>
          <w:color w:val="000000"/>
          <w:sz w:val="28"/>
          <w:szCs w:val="28"/>
        </w:rPr>
        <w:t xml:space="preserve">ổng kết </w:t>
      </w:r>
      <w:r>
        <w:rPr>
          <w:rFonts w:ascii="Times New Roman" w:eastAsia="Times New Roman" w:hAnsi="Times New Roman" w:cs="Times New Roman"/>
          <w:sz w:val="28"/>
          <w:szCs w:val="28"/>
        </w:rPr>
        <w:t xml:space="preserve">kết quả </w:t>
      </w:r>
      <w:r>
        <w:rPr>
          <w:rFonts w:ascii="Times New Roman" w:eastAsia="Times New Roman" w:hAnsi="Times New Roman" w:cs="Times New Roman"/>
          <w:color w:val="000000"/>
          <w:sz w:val="28"/>
          <w:szCs w:val="28"/>
        </w:rPr>
        <w:t>triển khai thi hành Luật Hộ tịch</w:t>
      </w:r>
      <w:r>
        <w:rPr>
          <w:rFonts w:ascii="Times New Roman" w:eastAsia="Times New Roman" w:hAnsi="Times New Roman" w:cs="Times New Roman"/>
          <w:color w:val="000000"/>
          <w:sz w:val="28"/>
          <w:szCs w:val="28"/>
          <w:vertAlign w:val="superscript"/>
        </w:rPr>
        <w:footnoteReference w:id="5"/>
      </w:r>
      <w:r>
        <w:rPr>
          <w:rFonts w:ascii="Times New Roman" w:eastAsia="Times New Roman" w:hAnsi="Times New Roman" w:cs="Times New Roman"/>
          <w:color w:val="000000"/>
          <w:sz w:val="28"/>
          <w:szCs w:val="28"/>
        </w:rPr>
        <w:t>, thực hiện Chương trình hành động quốc gia của Việt Nam về đăng ký và thống kê hộ tịch giai đoạn 2017-2024; tổng hợp kết quả công tác thanh tra, kiểm tra tình hình đăng ký, quản lý hộ tịch tại các địa</w:t>
      </w:r>
      <w:r>
        <w:rPr>
          <w:rFonts w:ascii="Times New Roman" w:eastAsia="Times New Roman" w:hAnsi="Times New Roman" w:cs="Times New Roman"/>
          <w:color w:val="000000"/>
          <w:sz w:val="28"/>
          <w:szCs w:val="28"/>
        </w:rPr>
        <w:t xml:space="preserve"> phương cho thấy một số n</w:t>
      </w:r>
      <w:r>
        <w:rPr>
          <w:rFonts w:ascii="Times New Roman" w:eastAsia="Times New Roman" w:hAnsi="Times New Roman" w:cs="Times New Roman"/>
          <w:sz w:val="28"/>
          <w:szCs w:val="28"/>
        </w:rPr>
        <w:t xml:space="preserve">ội dung </w:t>
      </w:r>
      <w:r>
        <w:rPr>
          <w:rFonts w:ascii="Times New Roman" w:eastAsia="Times New Roman" w:hAnsi="Times New Roman" w:cs="Times New Roman"/>
          <w:color w:val="000000"/>
          <w:sz w:val="28"/>
          <w:szCs w:val="28"/>
        </w:rPr>
        <w:t>quy định kh</w:t>
      </w:r>
      <w:r>
        <w:rPr>
          <w:rFonts w:ascii="Times New Roman" w:eastAsia="Times New Roman" w:hAnsi="Times New Roman" w:cs="Times New Roman"/>
          <w:sz w:val="28"/>
          <w:szCs w:val="28"/>
        </w:rPr>
        <w:t xml:space="preserve">ác </w:t>
      </w:r>
      <w:r>
        <w:rPr>
          <w:rFonts w:ascii="Times New Roman" w:eastAsia="Times New Roman" w:hAnsi="Times New Roman" w:cs="Times New Roman"/>
          <w:color w:val="000000"/>
          <w:sz w:val="28"/>
          <w:szCs w:val="28"/>
        </w:rPr>
        <w:t xml:space="preserve">của Luật Hộ tịch cần được sửa đổi, bổ sung kịp thời nhằm bảo đảm phù hợp với tình hình thực tiễn, </w:t>
      </w:r>
      <w:r>
        <w:rPr>
          <w:rFonts w:ascii="Times New Roman" w:eastAsia="Times New Roman" w:hAnsi="Times New Roman" w:cs="Times New Roman"/>
          <w:sz w:val="28"/>
          <w:szCs w:val="28"/>
        </w:rPr>
        <w:t>cụ thể</w:t>
      </w:r>
      <w:r>
        <w:rPr>
          <w:rFonts w:ascii="Times New Roman" w:eastAsia="Times New Roman" w:hAnsi="Times New Roman" w:cs="Times New Roman"/>
          <w:color w:val="000000"/>
          <w:sz w:val="28"/>
          <w:szCs w:val="28"/>
        </w:rPr>
        <w:t>:</w:t>
      </w:r>
    </w:p>
    <w:p w:rsidR="00064174" w:rsidRDefault="00966D7D">
      <w:pPr>
        <w:spacing w:before="120" w:after="120" w:line="264"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sz w:val="28"/>
          <w:szCs w:val="28"/>
        </w:rPr>
        <w:t>Bổ sung các</w:t>
      </w:r>
      <w:r>
        <w:rPr>
          <w:rFonts w:ascii="Times New Roman" w:eastAsia="Times New Roman" w:hAnsi="Times New Roman" w:cs="Times New Roman"/>
          <w:color w:val="000000"/>
          <w:sz w:val="28"/>
          <w:szCs w:val="28"/>
        </w:rPr>
        <w:t xml:space="preserve"> quy định điều chỉnh các trường hợp giải quyết yêu cầu đăng ký hộ tịch của người dân nảy s</w:t>
      </w:r>
      <w:r>
        <w:rPr>
          <w:rFonts w:ascii="Times New Roman" w:eastAsia="Times New Roman" w:hAnsi="Times New Roman" w:cs="Times New Roman"/>
          <w:color w:val="000000"/>
          <w:sz w:val="28"/>
          <w:szCs w:val="28"/>
        </w:rPr>
        <w:t>inh khó khăn, vướng mắc</w:t>
      </w:r>
      <w:r>
        <w:rPr>
          <w:rFonts w:ascii="Times New Roman" w:eastAsia="Times New Roman" w:hAnsi="Times New Roman" w:cs="Times New Roman"/>
          <w:sz w:val="28"/>
          <w:szCs w:val="28"/>
        </w:rPr>
        <w:t xml:space="preserve"> về phạm vi điều chỉnh, phạm vi thay đổi hộ tịch</w:t>
      </w:r>
      <w:r>
        <w:rPr>
          <w:rFonts w:ascii="Times New Roman" w:eastAsia="Times New Roman" w:hAnsi="Times New Roman" w:cs="Times New Roman"/>
          <w:color w:val="000000"/>
          <w:sz w:val="28"/>
          <w:szCs w:val="28"/>
          <w:vertAlign w:val="superscript"/>
        </w:rPr>
        <w:footnoteReference w:id="6"/>
      </w:r>
      <w:r>
        <w:rPr>
          <w:rFonts w:ascii="Times New Roman" w:eastAsia="Times New Roman" w:hAnsi="Times New Roman" w:cs="Times New Roman"/>
          <w:color w:val="000000"/>
          <w:sz w:val="28"/>
          <w:szCs w:val="28"/>
        </w:rPr>
        <w:t xml:space="preserve">; </w:t>
      </w:r>
    </w:p>
    <w:p w:rsidR="00064174" w:rsidRDefault="00966D7D">
      <w:pPr>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lastRenderedPageBreak/>
        <w:t>+ S</w:t>
      </w:r>
      <w:r>
        <w:rPr>
          <w:rFonts w:ascii="Times New Roman" w:eastAsia="Times New Roman" w:hAnsi="Times New Roman" w:cs="Times New Roman"/>
          <w:sz w:val="28"/>
          <w:szCs w:val="28"/>
        </w:rPr>
        <w:t>ửa đổi, bổ sung quy định về cách thức thực hiện, trả kết quả đăng ký hộ tịch nhằm cải cách, tăng cường đăng ký trực tuyến, đăng ký hộ tịch phi địa giới hành chính, phục vụ chuyển</w:t>
      </w:r>
      <w:r>
        <w:rPr>
          <w:rFonts w:ascii="Times New Roman" w:eastAsia="Times New Roman" w:hAnsi="Times New Roman" w:cs="Times New Roman"/>
          <w:sz w:val="28"/>
          <w:szCs w:val="28"/>
        </w:rPr>
        <w:t xml:space="preserve"> đổi số (sửa đổi quy định yêu cầu người đi đăng ký hộ tịch phải có mặt để ký sổ, nhận kết quả bản giấy trực tiếp tại cơ quan đăng ký hộ tịch, bổ sung quy định cho phép đăng ký hộ tịch không phụ thuộc địa giới hành chính theo 2 mức độ - trong phạm vi cấp tỉ</w:t>
      </w:r>
      <w:r>
        <w:rPr>
          <w:rFonts w:ascii="Times New Roman" w:eastAsia="Times New Roman" w:hAnsi="Times New Roman" w:cs="Times New Roman"/>
          <w:sz w:val="28"/>
          <w:szCs w:val="28"/>
        </w:rPr>
        <w:t xml:space="preserve">nh và trên toàn quốc tương ứng với 2 nhóm việc hộ tịch). </w:t>
      </w:r>
    </w:p>
    <w:p w:rsidR="00064174" w:rsidRDefault="00966D7D">
      <w:pPr>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Các nội dung này đã được điều chỉnh tại Nghị định số 120/2025/NĐ-CP ngày 11/6/2025 của Chính phủ quy định về phân định thẩm quyền của chính quyền địa phương 2 cấp trong lĩnh vực quản lý nhà nước của</w:t>
      </w:r>
      <w:r>
        <w:rPr>
          <w:rFonts w:ascii="Times New Roman" w:eastAsia="Times New Roman" w:hAnsi="Times New Roman" w:cs="Times New Roman"/>
          <w:sz w:val="28"/>
          <w:szCs w:val="28"/>
        </w:rPr>
        <w:t xml:space="preserve"> Bộ Tư pháp, tuy nhiên các quy định này chỉ có hiệu lực đến ngày 01/3/2027, cần sửa Luật Hộ tịch để đáp ứng các yêu cầu nêu trên.</w:t>
      </w:r>
    </w:p>
    <w:p w:rsidR="00064174" w:rsidRDefault="00966D7D">
      <w:pPr>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Bổ sung quy định tăng cường cơ chế liên thông, phối hợp, kết nối, chia sẻ thông tin, dữ liệu giữa các ngành có liên quan tro</w:t>
      </w:r>
      <w:r>
        <w:rPr>
          <w:rFonts w:ascii="Times New Roman" w:eastAsia="Times New Roman" w:hAnsi="Times New Roman" w:cs="Times New Roman"/>
          <w:sz w:val="28"/>
          <w:szCs w:val="28"/>
        </w:rPr>
        <w:t xml:space="preserve">ng công tác đăng ký, quản lý và thống kê hộ tịch, bảo đảm hiệu quả. </w:t>
      </w:r>
    </w:p>
    <w:p w:rsidR="00064174" w:rsidRDefault="00966D7D">
      <w:pPr>
        <w:spacing w:before="120" w:after="120" w:line="264" w:lineRule="auto"/>
        <w:ind w:firstLine="567"/>
        <w:jc w:val="both"/>
        <w:rPr>
          <w:rFonts w:ascii="Times New Roman" w:eastAsia="Times New Roman" w:hAnsi="Times New Roman" w:cs="Times New Roman"/>
          <w:b/>
          <w:bCs/>
          <w:i/>
          <w:iCs/>
          <w:color w:val="000000"/>
          <w:sz w:val="28"/>
          <w:szCs w:val="28"/>
          <w:highlight w:val="white"/>
        </w:rPr>
      </w:pPr>
      <w:r>
        <w:rPr>
          <w:rFonts w:ascii="Times New Roman" w:eastAsia="Times New Roman" w:hAnsi="Times New Roman" w:cs="Times New Roman"/>
          <w:sz w:val="28"/>
          <w:szCs w:val="28"/>
        </w:rPr>
        <w:t xml:space="preserve">+ Sửa đổi, bổ sung các quy định về giải quyết một số việc hộ tịch bảo đảm sự đồng bộ, thống nhất với các quy định liên quan mới được quy định </w:t>
      </w:r>
      <w:r>
        <w:rPr>
          <w:rFonts w:ascii="Times New Roman" w:eastAsia="Times New Roman" w:hAnsi="Times New Roman" w:cs="Times New Roman"/>
          <w:color w:val="000000"/>
          <w:sz w:val="28"/>
          <w:szCs w:val="28"/>
        </w:rPr>
        <w:t>trong một số Luật, Nghị quyết m</w:t>
      </w:r>
      <w:r>
        <w:rPr>
          <w:rFonts w:ascii="Times New Roman" w:eastAsia="Times New Roman" w:hAnsi="Times New Roman" w:cs="Times New Roman"/>
          <w:sz w:val="28"/>
          <w:szCs w:val="28"/>
        </w:rPr>
        <w:t>ới được Quốc hội thông qua</w:t>
      </w:r>
      <w:r>
        <w:rPr>
          <w:rFonts w:ascii="Times New Roman" w:eastAsia="Times New Roman" w:hAnsi="Times New Roman" w:cs="Times New Roman"/>
          <w:color w:val="000000"/>
          <w:sz w:val="28"/>
          <w:szCs w:val="28"/>
          <w:vertAlign w:val="superscript"/>
        </w:rPr>
        <w:footnoteReference w:id="7"/>
      </w:r>
      <w:r>
        <w:rPr>
          <w:rFonts w:ascii="Times New Roman" w:eastAsia="Times New Roman" w:hAnsi="Times New Roman" w:cs="Times New Roman"/>
          <w:color w:val="000000"/>
          <w:sz w:val="28"/>
          <w:szCs w:val="28"/>
          <w:vertAlign w:val="superscript"/>
        </w:rPr>
        <w:t xml:space="preserve"> </w:t>
      </w:r>
      <w:r>
        <w:rPr>
          <w:rFonts w:ascii="Times New Roman" w:eastAsia="Times New Roman" w:hAnsi="Times New Roman" w:cs="Times New Roman"/>
          <w:sz w:val="28"/>
          <w:szCs w:val="28"/>
        </w:rPr>
        <w:t xml:space="preserve">(thẩm quyền, trách nhiệm đăng ký, quản lý hộ tịch theo mô hình chính quyền địa phương 02 cấp quy định tại theo Nghị quyết số 203/2025/QH15, Luật Tổ chức chính quyền địa phương; </w:t>
      </w:r>
      <w:r>
        <w:rPr>
          <w:rFonts w:ascii="Times New Roman" w:eastAsia="Times New Roman" w:hAnsi="Times New Roman" w:cs="Times New Roman"/>
          <w:sz w:val="28"/>
          <w:szCs w:val="28"/>
          <w:highlight w:val="white"/>
        </w:rPr>
        <w:t xml:space="preserve">quyền, nghĩa vụ đăng ký hộ tịch của người gốc Việt </w:t>
      </w:r>
      <w:r>
        <w:rPr>
          <w:rFonts w:ascii="Times New Roman" w:eastAsia="Times New Roman" w:hAnsi="Times New Roman" w:cs="Times New Roman"/>
          <w:sz w:val="28"/>
          <w:szCs w:val="28"/>
          <w:highlight w:val="white"/>
        </w:rPr>
        <w:t xml:space="preserve">Nam chưa xác định được quốc tịch đang sinh sống tại Việt Nam; </w:t>
      </w:r>
      <w:r>
        <w:rPr>
          <w:rFonts w:ascii="Times New Roman" w:eastAsia="Times New Roman" w:hAnsi="Times New Roman" w:cs="Times New Roman"/>
          <w:sz w:val="28"/>
          <w:szCs w:val="28"/>
        </w:rPr>
        <w:t xml:space="preserve">ghi vào sổ hộ tịch việc khai sinh đối với trẻ em sinh ra có cha hoặc mẹ là công dân Việt Nam còn người kia là công dân nước ngoài; </w:t>
      </w:r>
      <w:r>
        <w:rPr>
          <w:rFonts w:ascii="Times New Roman" w:eastAsia="Times New Roman" w:hAnsi="Times New Roman" w:cs="Times New Roman"/>
          <w:sz w:val="28"/>
          <w:szCs w:val="28"/>
          <w:highlight w:val="white"/>
        </w:rPr>
        <w:t xml:space="preserve">đặt tên khi đăng ký khai sinh cho trẻ em có quốc tịch Việt Nam </w:t>
      </w:r>
      <w:r>
        <w:rPr>
          <w:rFonts w:ascii="Times New Roman" w:eastAsia="Times New Roman" w:hAnsi="Times New Roman" w:cs="Times New Roman"/>
          <w:sz w:val="28"/>
          <w:szCs w:val="28"/>
          <w:highlight w:val="white"/>
        </w:rPr>
        <w:t xml:space="preserve">đồng thời có quốc tịch nước ngoài; đăng ký giám sát việc giám hộ; </w:t>
      </w:r>
      <w:r>
        <w:rPr>
          <w:rFonts w:ascii="Times New Roman" w:eastAsia="Times New Roman" w:hAnsi="Times New Roman" w:cs="Times New Roman"/>
          <w:sz w:val="28"/>
          <w:szCs w:val="28"/>
        </w:rPr>
        <w:t>vị trí, việc làm, tiêu chuẩn về chuyên môn, nghiệp vụ của công chức làm công tác hộ tịch thống nhất với Luật Tổ chức chính quyền địa phương); một số quy định gây</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sz w:val="28"/>
          <w:szCs w:val="28"/>
        </w:rPr>
        <w:t>hiểu chưa thống nhất,</w:t>
      </w:r>
      <w:r>
        <w:rPr>
          <w:rFonts w:ascii="Times New Roman" w:eastAsia="Times New Roman" w:hAnsi="Times New Roman" w:cs="Times New Roman"/>
          <w:color w:val="000000"/>
          <w:sz w:val="28"/>
          <w:szCs w:val="28"/>
        </w:rPr>
        <w:t xml:space="preserve"> khó áp</w:t>
      </w:r>
      <w:r>
        <w:rPr>
          <w:rFonts w:ascii="Times New Roman" w:eastAsia="Times New Roman" w:hAnsi="Times New Roman" w:cs="Times New Roman"/>
          <w:color w:val="000000"/>
          <w:sz w:val="28"/>
          <w:szCs w:val="28"/>
        </w:rPr>
        <w:t xml:space="preserve"> dụng hoặc áp dụng chưa thống nhất </w:t>
      </w:r>
      <w:r>
        <w:rPr>
          <w:rFonts w:ascii="Times New Roman" w:eastAsia="Times New Roman" w:hAnsi="Times New Roman" w:cs="Times New Roman"/>
          <w:sz w:val="28"/>
          <w:szCs w:val="28"/>
        </w:rPr>
        <w:t>trong thực tế</w:t>
      </w:r>
      <w:r>
        <w:rPr>
          <w:rFonts w:ascii="Times New Roman" w:eastAsia="Times New Roman" w:hAnsi="Times New Roman" w:cs="Times New Roman"/>
          <w:color w:val="000000"/>
          <w:sz w:val="28"/>
          <w:szCs w:val="28"/>
        </w:rPr>
        <w:t xml:space="preserve"> giải quyết yêu cầu đăng ký hộ tịch.</w:t>
      </w:r>
    </w:p>
    <w:p w:rsidR="00064174" w:rsidRDefault="00966D7D">
      <w:pPr>
        <w:spacing w:before="120" w:after="120" w:line="264"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Y</w:t>
      </w:r>
      <w:r>
        <w:rPr>
          <w:rFonts w:ascii="Times New Roman" w:eastAsia="Times New Roman" w:hAnsi="Times New Roman" w:cs="Times New Roman"/>
          <w:color w:val="000000"/>
          <w:sz w:val="28"/>
          <w:szCs w:val="28"/>
        </w:rPr>
        <w:t>êu cầu thực tiễn đối với hoạt động đăng ký, quản lý hộ tịch</w:t>
      </w:r>
      <w:r>
        <w:rPr>
          <w:rFonts w:ascii="Times New Roman" w:eastAsia="Times New Roman" w:hAnsi="Times New Roman" w:cs="Times New Roman"/>
          <w:sz w:val="28"/>
          <w:szCs w:val="28"/>
        </w:rPr>
        <w:t xml:space="preserve"> cần tiếp tục, kịp thời thể chế hoá các chủ trương của Đảng, chính sách của Nhà nước, khắc phục những hạn chế, </w:t>
      </w:r>
      <w:r>
        <w:rPr>
          <w:rFonts w:ascii="Times New Roman" w:eastAsia="Times New Roman" w:hAnsi="Times New Roman" w:cs="Times New Roman"/>
          <w:sz w:val="28"/>
          <w:szCs w:val="28"/>
        </w:rPr>
        <w:t>bất cập, đáp ứng tốt hơn nữa hoạt động quản lý nhà nước, cải cách tư pháp, cải cách thủ tục hành chính, đẩy mạnh ứng dụng công nghệ thông tin và chuyển đổi số, do đó, việc xây dựng dự án Luật Hộ tịch (sửa đổi) là rất cần thiết.</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 xml:space="preserve">II. MỤC ĐÍCH BAN HÀNH, QUAN </w:t>
      </w:r>
      <w:r>
        <w:rPr>
          <w:rFonts w:ascii="Times New Roman" w:eastAsia="Times New Roman" w:hAnsi="Times New Roman" w:cs="Times New Roman"/>
          <w:b/>
          <w:bCs/>
          <w:sz w:val="26"/>
          <w:szCs w:val="26"/>
        </w:rPr>
        <w:t>ĐIỂM XÂY DỰNG DỰ ÁN LUẬT</w:t>
      </w:r>
    </w:p>
    <w:p w:rsidR="00064174" w:rsidRDefault="00966D7D">
      <w:pPr>
        <w:widowControl w:val="0"/>
        <w:spacing w:before="120" w:after="120" w:line="264" w:lineRule="auto"/>
        <w:ind w:firstLine="567"/>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1. Mục đích ban hành</w:t>
      </w:r>
    </w:p>
    <w:p w:rsidR="00064174" w:rsidRDefault="00966D7D">
      <w:pPr>
        <w:widowControl w:val="0"/>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Việc xây dựng dự án Luật Hộ tịch (sửa đổi) nhằm: </w:t>
      </w:r>
    </w:p>
    <w:p w:rsidR="00064174" w:rsidRDefault="00966D7D">
      <w:pPr>
        <w:widowControl w:val="0"/>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Bảo đảm sự thống nhất, đồng bộ của hệ thống pháp luật; đẩy mạnh phân cấp, phân quyền, khắc phục những hạn chế, bất cập của Luật Hộ tịch năm 2014 và các văn bản quy định chi tiết, hướng dẫn thi hành, phù hợp với việc tổ chức, sắp xếp bộ máy hành chính nh</w:t>
      </w:r>
      <w:r>
        <w:rPr>
          <w:rFonts w:ascii="Times New Roman" w:eastAsia="Times New Roman" w:hAnsi="Times New Roman" w:cs="Times New Roman"/>
          <w:sz w:val="28"/>
          <w:szCs w:val="28"/>
        </w:rPr>
        <w:t xml:space="preserve">à nước, thực hiện chính quyền địa phương 2 cấp, tạo cơ sở pháp lý ổn định cho hoạt động đăng ký, quản lý hộ tịch; </w:t>
      </w:r>
    </w:p>
    <w:p w:rsidR="00064174" w:rsidRDefault="00966D7D">
      <w:pPr>
        <w:widowControl w:val="0"/>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Đẩy mạnh việc hiện đại hóa, chuyển đổi số toàn diện công tác đăng ký, quản lý hộ tịch, tạo thuận lợi nhất cho người yêu cầu đăng ký hộ tịc</w:t>
      </w:r>
      <w:r>
        <w:rPr>
          <w:rFonts w:ascii="Times New Roman" w:eastAsia="Times New Roman" w:hAnsi="Times New Roman" w:cs="Times New Roman"/>
          <w:sz w:val="28"/>
          <w:szCs w:val="28"/>
        </w:rPr>
        <w:t xml:space="preserve">h, nâng cao chất lượng, hiệu quả đăng ký, quản lý hộ tịch; </w:t>
      </w:r>
    </w:p>
    <w:p w:rsidR="00064174" w:rsidRDefault="00966D7D">
      <w:pPr>
        <w:widowControl w:val="0"/>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Tăng cường đơn giản hóa, cắt giảm thủ tục hành chính, giảm chi phí thực hiện thủ tục hành chính, thực hiện thủ tục hành chính không phụ thuộc vào địa giới hành chính, đăng ký hộ tịch trực tuyến</w:t>
      </w:r>
      <w:r>
        <w:rPr>
          <w:rFonts w:ascii="Times New Roman" w:eastAsia="Times New Roman" w:hAnsi="Times New Roman" w:cs="Times New Roman"/>
          <w:sz w:val="28"/>
          <w:szCs w:val="28"/>
        </w:rPr>
        <w:t xml:space="preserve"> toàn trình; </w:t>
      </w:r>
    </w:p>
    <w:p w:rsidR="00064174" w:rsidRDefault="00966D7D">
      <w:pPr>
        <w:widowControl w:val="0"/>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Bảo đảm phối hợp chặt chẽ, thông suốt giữa các cơ quan, tổ chức có liên quan trong việc chia sẻ dữ liệu, kết nối liên thông để đăng ký, quản lý hộ tịch, phục vụ quản lý nhà nước.</w:t>
      </w:r>
    </w:p>
    <w:p w:rsidR="00064174" w:rsidRDefault="00966D7D">
      <w:pPr>
        <w:widowControl w:val="0"/>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2. Quan điểm xây dựng Dự án Luật</w:t>
      </w:r>
    </w:p>
    <w:p w:rsidR="00064174" w:rsidRDefault="00966D7D">
      <w:pPr>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Tiếp tục thể chế hóa đầy</w:t>
      </w:r>
      <w:r>
        <w:rPr>
          <w:rFonts w:ascii="Times New Roman" w:eastAsia="Times New Roman" w:hAnsi="Times New Roman" w:cs="Times New Roman"/>
          <w:sz w:val="28"/>
          <w:szCs w:val="28"/>
        </w:rPr>
        <w:t xml:space="preserve"> đủ quan điểm, chủ trương của Đảng, chính sách, pháp luật của Nhà nước về cải cách tư pháp, cải cách hành chính, phân cấp, phân quyền, tổ chức, sắp xếp bộ máy, thực hiện chính quyền địa phương 2 cấp, đẩy mạnh chuyển đổi số, hiện đại hóa, ứng dụng công nghệ</w:t>
      </w:r>
      <w:r>
        <w:rPr>
          <w:rFonts w:ascii="Times New Roman" w:eastAsia="Times New Roman" w:hAnsi="Times New Roman" w:cs="Times New Roman"/>
          <w:sz w:val="28"/>
          <w:szCs w:val="28"/>
        </w:rPr>
        <w:t xml:space="preserve"> thông tin trong công tác đăng ký, quản lý hộ tịch; đồng thời, thể chế hóa chủ trương, chỉ đạo của Đảng, Nhà nước về đổi mới tư duy công tác xây dựng pháp luật, hoàn thiện thể chế.</w:t>
      </w:r>
    </w:p>
    <w:p w:rsidR="00064174" w:rsidRDefault="00966D7D">
      <w:pPr>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Bảo đảm phù hợp, thống nhất, đồng bộ với các quy định có liên quan của H</w:t>
      </w:r>
      <w:r>
        <w:rPr>
          <w:rFonts w:ascii="Times New Roman" w:eastAsia="Times New Roman" w:hAnsi="Times New Roman" w:cs="Times New Roman"/>
          <w:sz w:val="28"/>
          <w:szCs w:val="28"/>
        </w:rPr>
        <w:t xml:space="preserve">iến pháp và các luật liên quan (như Bộ luật Dân sự, Luật Hôn nhân và gia đình, Luật Quốc tịch Việt Nam, Luật Căn cước...). </w:t>
      </w:r>
    </w:p>
    <w:p w:rsidR="00064174" w:rsidRDefault="00966D7D">
      <w:pPr>
        <w:widowControl w:val="0"/>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Kế thừa, phát triển những quy định đã phát huy hiệu quả trong thực tiễn; sửa đổi, bổ sung các quy định có vướng mắc, không còn ph</w:t>
      </w:r>
      <w:r>
        <w:rPr>
          <w:rFonts w:ascii="Times New Roman" w:eastAsia="Times New Roman" w:hAnsi="Times New Roman" w:cs="Times New Roman"/>
          <w:sz w:val="28"/>
          <w:szCs w:val="28"/>
        </w:rPr>
        <w:t>ù hợp để kịp thời giải quyết những vấn đề bất cập phát sinh trong thực tế, bảo đảm tính khả thi, hiệu quả, bảo vệ quyền, lợi ích hợp pháp của người dân, tạo điều kiện thuận lợi cho người dân và cơ quan đăng ký hộ tịch.</w:t>
      </w:r>
    </w:p>
    <w:p w:rsidR="00064174" w:rsidRPr="00966D7D" w:rsidRDefault="00966D7D">
      <w:pPr>
        <w:widowControl w:val="0"/>
        <w:spacing w:before="120" w:after="120" w:line="264" w:lineRule="auto"/>
        <w:ind w:firstLine="567"/>
        <w:jc w:val="both"/>
        <w:rPr>
          <w:rFonts w:ascii="Times New Roman" w:eastAsia="Times New Roman" w:hAnsi="Times New Roman" w:cs="Times New Roman"/>
          <w:spacing w:val="-6"/>
          <w:sz w:val="28"/>
          <w:szCs w:val="28"/>
        </w:rPr>
      </w:pPr>
      <w:r w:rsidRPr="00966D7D">
        <w:rPr>
          <w:rFonts w:ascii="Times New Roman" w:eastAsia="Times New Roman" w:hAnsi="Times New Roman" w:cs="Times New Roman"/>
          <w:spacing w:val="-6"/>
          <w:sz w:val="28"/>
          <w:szCs w:val="28"/>
        </w:rPr>
        <w:t>d) Nâng cao hiệu lực, hiệu quả quản l</w:t>
      </w:r>
      <w:r w:rsidRPr="00966D7D">
        <w:rPr>
          <w:rFonts w:ascii="Times New Roman" w:eastAsia="Times New Roman" w:hAnsi="Times New Roman" w:cs="Times New Roman"/>
          <w:spacing w:val="-6"/>
          <w:sz w:val="28"/>
          <w:szCs w:val="28"/>
        </w:rPr>
        <w:t>ý nhà nước về đăng ký, quản lý hộ tịch, tăng cường thông tin, phối hợp liên ngành và chia sẻ dữ liệu giữa các ngành, các cấp.</w:t>
      </w:r>
    </w:p>
    <w:p w:rsidR="00064174" w:rsidRDefault="00966D7D">
      <w:pPr>
        <w:widowControl w:val="0"/>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 Luật chỉ quy định những vấn đề khung, những vấn đề có tính nguyên tắc thuộc thẩm quyền của Quốc hội, còn những vấn đề thực tiễn</w:t>
      </w:r>
      <w:r>
        <w:rPr>
          <w:rFonts w:ascii="Times New Roman" w:eastAsia="Times New Roman" w:hAnsi="Times New Roman" w:cs="Times New Roman"/>
          <w:sz w:val="28"/>
          <w:szCs w:val="28"/>
        </w:rPr>
        <w:t xml:space="preserve"> thường xuyên biến động thì giao Chính phủ, Bộ, ngành, địa phương quy định để bảo đảm linh hoạt, kịp thời, phù hợp với thực tiễn.</w:t>
      </w:r>
    </w:p>
    <w:p w:rsidR="00064174" w:rsidRDefault="00966D7D">
      <w:pPr>
        <w:widowControl w:val="0"/>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e) Nghiên cứu, tham khảo có chọn lọc kinh nghiệm của các nước, thông lệ quốc tế về hoạt động đăng ký, quản lý hộ tịch, phù hợp</w:t>
      </w:r>
      <w:r>
        <w:rPr>
          <w:rFonts w:ascii="Times New Roman" w:eastAsia="Times New Roman" w:hAnsi="Times New Roman" w:cs="Times New Roman"/>
          <w:sz w:val="28"/>
          <w:szCs w:val="28"/>
        </w:rPr>
        <w:t xml:space="preserve"> với thực tiễn phát triển </w:t>
      </w:r>
      <w:r>
        <w:rPr>
          <w:rFonts w:ascii="Times New Roman" w:eastAsia="Times New Roman" w:hAnsi="Times New Roman" w:cs="Times New Roman"/>
          <w:sz w:val="28"/>
          <w:szCs w:val="28"/>
        </w:rPr>
        <w:lastRenderedPageBreak/>
        <w:t>kinh tế - xã hội và hoạt động tư pháp ở Việt Nam.</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III. QUÁ TRÌNH XÂY DỰNG DỰ ÁN LUẬT</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Thực hiện quy định tại các Điều 33, 34 của Luật Ban hành văn bản quy phạm pháp luật, Bộ Tư pháp đã tuân thủ đầy đủ trình tự, thủ tục xây dựng dự án Luật, bao gồm các hoạt động sau:</w:t>
      </w:r>
    </w:p>
    <w:p w:rsidR="00064174" w:rsidRDefault="00966D7D">
      <w:pPr>
        <w:pBdr>
          <w:top w:val="nil"/>
          <w:left w:val="nil"/>
          <w:bottom w:val="nil"/>
          <w:right w:val="nil"/>
          <w:between w:val="nil"/>
        </w:pBdr>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Nghiên cứu, xây dựng chính sách của Luật Hộ tịch (sửa đổi), có Tờ trình </w:t>
      </w:r>
      <w:r>
        <w:rPr>
          <w:rFonts w:ascii="Times New Roman" w:eastAsia="Times New Roman" w:hAnsi="Times New Roman" w:cs="Times New Roman"/>
          <w:sz w:val="28"/>
          <w:szCs w:val="28"/>
        </w:rPr>
        <w:t>số 167/TTr-BTP ngày 18/12/2025 trình Chính phủ. Chính phủ đã có Nghị quyết số 05/NQ-CP ngày 09/01/2026 thông qua 5 chính sách của Luật Hộ tịch (sửa đổi).</w:t>
      </w:r>
    </w:p>
    <w:p w:rsidR="00064174" w:rsidRDefault="00966D7D">
      <w:pPr>
        <w:pBdr>
          <w:top w:val="nil"/>
          <w:left w:val="nil"/>
          <w:bottom w:val="nil"/>
          <w:right w:val="nil"/>
          <w:between w:val="nil"/>
        </w:pBdr>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Thực hiện rà soát các chủ trương, đường lối của Đảng, các văn bản quy phạm pháp luật (Luật Hộ tịch,</w:t>
      </w:r>
      <w:r>
        <w:rPr>
          <w:rFonts w:ascii="Times New Roman" w:eastAsia="Times New Roman" w:hAnsi="Times New Roman" w:cs="Times New Roman"/>
          <w:sz w:val="28"/>
          <w:szCs w:val="28"/>
        </w:rPr>
        <w:t xml:space="preserve"> các văn bản quy định chi tiết thi hành; các luật có liên quan như Bộ luật Dân sự, Luật Hôn nhân và Gia đình, Luật Quốc tịch Việt Nam, Luật Căn cước, Luật Cán bộ, công chức…), điều ước quốc tế có liên quan.</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Tổng hợp kiến nghị, vướng mắc từ các nguồn khá</w:t>
      </w:r>
      <w:r>
        <w:rPr>
          <w:rFonts w:ascii="Times New Roman" w:eastAsia="Times New Roman" w:hAnsi="Times New Roman" w:cs="Times New Roman"/>
          <w:sz w:val="28"/>
          <w:szCs w:val="28"/>
        </w:rPr>
        <w:t>c nhau (tổng kết thi hành Luật Hộ tịch, phản ánh kiến nghị của bộ, ngành, địa phương, cử tri…).</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Bộ Tư pháp đã tiến hành tổng kết, đánh giá tình hình triển khai thi hành Luật Hộ tịch, tổng hợp kinh nghiệm quốc tế; đề xuất đưa dự án Luật Hộ tịch (sửa đổi)</w:t>
      </w:r>
      <w:r>
        <w:rPr>
          <w:rFonts w:ascii="Times New Roman" w:eastAsia="Times New Roman" w:hAnsi="Times New Roman" w:cs="Times New Roman"/>
          <w:sz w:val="28"/>
          <w:szCs w:val="28"/>
        </w:rPr>
        <w:t xml:space="preserve"> vào Chương trình lập pháp năm 2026.</w:t>
      </w:r>
    </w:p>
    <w:p w:rsidR="00064174" w:rsidRPr="00966D7D" w:rsidRDefault="00966D7D">
      <w:pPr>
        <w:tabs>
          <w:tab w:val="left" w:pos="2780"/>
          <w:tab w:val="center" w:pos="4631"/>
        </w:tabs>
        <w:spacing w:before="120" w:after="120" w:line="264" w:lineRule="auto"/>
        <w:ind w:firstLine="567"/>
        <w:jc w:val="both"/>
        <w:rPr>
          <w:rFonts w:ascii="Times New Roman" w:eastAsia="Times New Roman" w:hAnsi="Times New Roman" w:cs="Times New Roman"/>
          <w:color w:val="000000"/>
          <w:spacing w:val="-2"/>
          <w:sz w:val="28"/>
          <w:szCs w:val="28"/>
          <w:highlight w:val="white"/>
        </w:rPr>
      </w:pPr>
      <w:r w:rsidRPr="00966D7D">
        <w:rPr>
          <w:rFonts w:ascii="Times New Roman" w:eastAsia="Times New Roman" w:hAnsi="Times New Roman" w:cs="Times New Roman"/>
          <w:spacing w:val="-2"/>
          <w:sz w:val="28"/>
          <w:szCs w:val="28"/>
        </w:rPr>
        <w:t>5. Bộ Tư pháp đã có Công văn số 124/BTP-HCTP ngày 10/01/2026 gửi lấy ý kiến</w:t>
      </w:r>
      <w:r w:rsidRPr="00966D7D">
        <w:rPr>
          <w:rFonts w:ascii="Times New Roman" w:eastAsia="Times New Roman" w:hAnsi="Times New Roman" w:cs="Times New Roman"/>
          <w:color w:val="000000"/>
          <w:spacing w:val="-2"/>
          <w:sz w:val="28"/>
          <w:szCs w:val="28"/>
          <w:highlight w:val="white"/>
        </w:rPr>
        <w:t xml:space="preserve"> các Bộ, cơ quan ngang Bộ và cơ quan, </w:t>
      </w:r>
      <w:r w:rsidRPr="00966D7D">
        <w:rPr>
          <w:rFonts w:ascii="Times New Roman" w:eastAsia="Times New Roman" w:hAnsi="Times New Roman" w:cs="Times New Roman"/>
          <w:spacing w:val="-2"/>
          <w:sz w:val="28"/>
          <w:szCs w:val="28"/>
          <w:highlight w:val="white"/>
        </w:rPr>
        <w:t>đơn vị</w:t>
      </w:r>
      <w:r w:rsidRPr="00966D7D">
        <w:rPr>
          <w:rFonts w:ascii="Times New Roman" w:eastAsia="Times New Roman" w:hAnsi="Times New Roman" w:cs="Times New Roman"/>
          <w:color w:val="000000"/>
          <w:spacing w:val="-2"/>
          <w:sz w:val="28"/>
          <w:szCs w:val="28"/>
          <w:highlight w:val="white"/>
        </w:rPr>
        <w:t xml:space="preserve"> có liên quan về hồ sơ dự án Luật; lấy ý kiến phản biện xã hội của Mặt trận Tổ quốc Việt Nam đối với</w:t>
      </w:r>
      <w:r w:rsidRPr="00966D7D">
        <w:rPr>
          <w:rFonts w:ascii="Times New Roman" w:eastAsia="Times New Roman" w:hAnsi="Times New Roman" w:cs="Times New Roman"/>
          <w:color w:val="000000"/>
          <w:spacing w:val="-2"/>
          <w:sz w:val="28"/>
          <w:szCs w:val="28"/>
          <w:highlight w:val="white"/>
        </w:rPr>
        <w:t xml:space="preserve"> hồ sơ dự án Luật</w:t>
      </w:r>
      <w:r w:rsidRPr="00966D7D">
        <w:rPr>
          <w:rFonts w:ascii="Times New Roman" w:eastAsia="Times New Roman" w:hAnsi="Times New Roman" w:cs="Times New Roman"/>
          <w:spacing w:val="-2"/>
          <w:sz w:val="28"/>
          <w:szCs w:val="28"/>
          <w:highlight w:val="white"/>
        </w:rPr>
        <w:t xml:space="preserve">; </w:t>
      </w:r>
      <w:r w:rsidRPr="00966D7D">
        <w:rPr>
          <w:rFonts w:ascii="Times New Roman" w:eastAsia="Times New Roman" w:hAnsi="Times New Roman" w:cs="Times New Roman"/>
          <w:spacing w:val="-2"/>
          <w:sz w:val="28"/>
          <w:szCs w:val="28"/>
        </w:rPr>
        <w:t>đăng tải hồ sơ dự án Luật trên Cổng thông tin điện tử của Bộ Tư pháp và Cổng Pháp luật quốc gia để các cơ quan, tổ chức, cá nhân tham gia góp ý kiến</w:t>
      </w:r>
      <w:r w:rsidRPr="00966D7D">
        <w:rPr>
          <w:rFonts w:ascii="Times New Roman" w:eastAsia="Times New Roman" w:hAnsi="Times New Roman" w:cs="Times New Roman"/>
          <w:spacing w:val="-2"/>
          <w:sz w:val="28"/>
          <w:szCs w:val="28"/>
          <w:highlight w:val="white"/>
        </w:rPr>
        <w:t>; tổng hợp, nghiên cứu, tiếp thu những ý kiến góp ý của các cơ quan, đơn vị, cá nhân.</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6. </w:t>
      </w:r>
      <w:r>
        <w:rPr>
          <w:rFonts w:ascii="Times New Roman" w:eastAsia="Times New Roman" w:hAnsi="Times New Roman" w:cs="Times New Roman"/>
          <w:sz w:val="28"/>
          <w:szCs w:val="28"/>
        </w:rPr>
        <w:t xml:space="preserve">Ngày    /01/2026, Bộ Tư pháp đã tổ chức thẩm định hồ sơ dự án Luật (Báo cáo thẩm định số      /BC-BTP ngày   /01/2026). </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7. Trên cơ sở ý kiến thẩm định, Bộ Tư pháp đã nghiên cứu tiếp thu, chỉnh lý, hoàn thiện hồ sơ dự án Luật, trình Chính phủ xem xét, báo </w:t>
      </w:r>
      <w:r>
        <w:rPr>
          <w:rFonts w:ascii="Times New Roman" w:eastAsia="Times New Roman" w:hAnsi="Times New Roman" w:cs="Times New Roman"/>
          <w:sz w:val="28"/>
          <w:szCs w:val="28"/>
        </w:rPr>
        <w:t>cáo Quốc hội.</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IV. BỐ CỤC VÀ NỘI DUNG CƠ BẢN CỦA DỰ ÁN LUẬT</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1. Phạm vi điều chỉnh, đối tượng áp dụng</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1.1. Phạm vi điều chỉnh</w:t>
      </w:r>
    </w:p>
    <w:p w:rsidR="00064174" w:rsidRDefault="00966D7D">
      <w:pPr>
        <w:pBdr>
          <w:top w:val="nil"/>
          <w:left w:val="nil"/>
          <w:bottom w:val="nil"/>
          <w:right w:val="nil"/>
          <w:between w:val="nil"/>
        </w:pBd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Luật này quy định về hộ tịch; quyền, nghĩa vụ, nguyên tắc, thẩm quyền, thủ tục đăng ký hộ tịch; Cơ sở dữ liệu hộ tịch và quản lý nhà nước về hộ tịch. </w:t>
      </w:r>
    </w:p>
    <w:p w:rsidR="00064174" w:rsidRDefault="00966D7D">
      <w:pPr>
        <w:pBdr>
          <w:top w:val="nil"/>
          <w:left w:val="nil"/>
          <w:bottom w:val="nil"/>
          <w:right w:val="nil"/>
          <w:between w:val="nil"/>
        </w:pBd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Thẩm quyền, thủ tục giải quyết các việc về quốc tịch, nuôi con nuôi được thực hiện theo quy định của </w:t>
      </w:r>
      <w:r>
        <w:rPr>
          <w:rFonts w:ascii="Times New Roman" w:eastAsia="Times New Roman" w:hAnsi="Times New Roman" w:cs="Times New Roman"/>
          <w:sz w:val="28"/>
          <w:szCs w:val="28"/>
        </w:rPr>
        <w:t>Luật quốc tịch Việt Nam, Luật nuôi con nuôi, trừ trường hợp Luật này có quy định khác.</w:t>
      </w:r>
    </w:p>
    <w:p w:rsidR="00966D7D" w:rsidRDefault="00966D7D">
      <w:pPr>
        <w:pBdr>
          <w:top w:val="nil"/>
          <w:left w:val="nil"/>
          <w:bottom w:val="nil"/>
          <w:right w:val="nil"/>
          <w:between w:val="nil"/>
        </w:pBd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bookmarkStart w:id="1" w:name="_GoBack"/>
      <w:bookmarkEnd w:id="1"/>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lastRenderedPageBreak/>
        <w:t>1.2. Đối tượng áp dụng</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Các bộ, cơ quan ngang bộ, cơ quan nhà nước ở Trung ương; Ủy ban nhân dân các cấp, cơ quan đăng ký, quản lý hộ tịch trong nước và các Cơ quan đại d</w:t>
      </w:r>
      <w:r>
        <w:rPr>
          <w:rFonts w:ascii="Times New Roman" w:eastAsia="Times New Roman" w:hAnsi="Times New Roman" w:cs="Times New Roman"/>
          <w:sz w:val="28"/>
          <w:szCs w:val="28"/>
        </w:rPr>
        <w:t>iện Việt Nam ở nước ngoài; các tổ chức, cá nhân có liên quan trong việc đăng ký, quản lý hộ tịch.</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 Bố cục của dự thảo Luật</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Dự thảo Luật Hộ tịch gồm 6 Chương, 56 Điều, cụ thể như sau: </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Chương I. “Những quy định chung” (gồm 14 điều, từ Điều 1 đến Điều 14)</w:t>
      </w:r>
      <w:r>
        <w:rPr>
          <w:rFonts w:ascii="Times New Roman" w:eastAsia="Times New Roman" w:hAnsi="Times New Roman" w:cs="Times New Roman"/>
          <w:sz w:val="28"/>
          <w:szCs w:val="28"/>
        </w:rPr>
        <w:t xml:space="preserve"> quy định về phạm vi điều chỉnh, đối tượng áp dụng của Luật; hộ tịch, đăng ký hộ tịch; nội dung đăng ký hộ tịch; giải thích từ ngữ; nguyên tắc đăng ký hộ tịch; quyền, trách nhiệm đăng ký hộ tịch của cá nhân; bảo đảm thực hiện quyền, trách nhiệm đăng </w:t>
      </w:r>
      <w:r>
        <w:rPr>
          <w:rFonts w:ascii="Times New Roman" w:eastAsia="Times New Roman" w:hAnsi="Times New Roman" w:cs="Times New Roman"/>
          <w:sz w:val="28"/>
          <w:szCs w:val="28"/>
        </w:rPr>
        <w:t>ký hộ tịch; thẩm quyền đăng ký hộ tịch; giá trị sử dụng của giấy tờ hộ tịch, thông tin hộ tịch, dữ liệu hộ tịch điện tử; phương thức yêu cầu, tiếp nhận và trả kết quả đăng ký hộ tịch; hợp pháp hóa lãnh sự, dịch sang tiếng Việt đối với giấy tờ của nước ngoà</w:t>
      </w:r>
      <w:r>
        <w:rPr>
          <w:rFonts w:ascii="Times New Roman" w:eastAsia="Times New Roman" w:hAnsi="Times New Roman" w:cs="Times New Roman"/>
          <w:sz w:val="28"/>
          <w:szCs w:val="28"/>
        </w:rPr>
        <w:t>i; phí, lệ phí hộ tịch; các hành vi bị nghiêm cấm.</w:t>
      </w:r>
    </w:p>
    <w:p w:rsidR="00064174" w:rsidRDefault="00966D7D">
      <w:pPr>
        <w:spacing w:before="120" w:after="12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Chương II: Đăng ký hộ tịch tại Uỷ ban nhân dân cấp xã (gồm 7 mục, 19 điều, từ Điều 15 đến Điều 33) quy định về thẩm quyền, trình tự, thủ tục đăng ký các việc hộ tịch tại Uỷ ban nhân dân cấp xã: </w:t>
      </w:r>
    </w:p>
    <w:p w:rsidR="00064174" w:rsidRDefault="00966D7D">
      <w:pPr>
        <w:spacing w:before="120" w:after="12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Mục 1.</w:t>
      </w:r>
      <w:r>
        <w:rPr>
          <w:rFonts w:ascii="Times New Roman" w:eastAsia="Times New Roman" w:hAnsi="Times New Roman" w:cs="Times New Roman"/>
          <w:sz w:val="28"/>
          <w:szCs w:val="28"/>
        </w:rPr>
        <w:t xml:space="preserve"> Đăng ký khai sinh (từ Điều 15 đến Điều 18);</w:t>
      </w:r>
    </w:p>
    <w:p w:rsidR="00064174" w:rsidRDefault="00966D7D">
      <w:pPr>
        <w:spacing w:before="120" w:after="12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Mục 2. Đăng ký kết hôn (từ Điều 19 đến Điều 21);</w:t>
      </w:r>
    </w:p>
    <w:p w:rsidR="00064174" w:rsidRDefault="00966D7D">
      <w:pPr>
        <w:spacing w:before="120" w:after="12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Mục 3. Đăng ký giám hộ, giám sát việc giám hộ (Điều 22, Điều 23);</w:t>
      </w:r>
    </w:p>
    <w:p w:rsidR="00064174" w:rsidRDefault="00966D7D">
      <w:pPr>
        <w:spacing w:before="120" w:after="12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Mục 4. Đăng ký nhận cha, mẹ, con (Điều 24, Điều 28);</w:t>
      </w:r>
    </w:p>
    <w:p w:rsidR="00064174" w:rsidRDefault="00966D7D">
      <w:pPr>
        <w:spacing w:before="120" w:after="12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Mục 5. Đăng ký thay đổi thông tin h</w:t>
      </w:r>
      <w:r>
        <w:rPr>
          <w:rFonts w:ascii="Times New Roman" w:eastAsia="Times New Roman" w:hAnsi="Times New Roman" w:cs="Times New Roman"/>
          <w:sz w:val="28"/>
          <w:szCs w:val="28"/>
        </w:rPr>
        <w:t>ộ tịch (từ Điều 26 đến Điều 28);</w:t>
      </w:r>
    </w:p>
    <w:p w:rsidR="00064174" w:rsidRDefault="00966D7D">
      <w:pPr>
        <w:spacing w:before="120" w:after="12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Mục 6. Đăng ký khai tử (từ Điều 29 đến Điều 31).</w:t>
      </w:r>
    </w:p>
    <w:p w:rsidR="00064174" w:rsidRDefault="00966D7D">
      <w:pPr>
        <w:spacing w:before="120" w:after="12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Mục 7. Ghi vào Sổ hộ tịch việc hộ tịch của công dân Việt Nam đã giải quyết tại cơ quan có thẩm quyền của nước ngoài (Điều 32, Điều 33);</w:t>
      </w:r>
    </w:p>
    <w:p w:rsidR="00064174" w:rsidRDefault="00966D7D">
      <w:pPr>
        <w:spacing w:before="120" w:after="12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Chương III. Đăng ký hộ tịch tại </w:t>
      </w:r>
      <w:r>
        <w:rPr>
          <w:rFonts w:ascii="Times New Roman" w:eastAsia="Times New Roman" w:hAnsi="Times New Roman" w:cs="Times New Roman"/>
          <w:sz w:val="28"/>
          <w:szCs w:val="28"/>
        </w:rPr>
        <w:t>Cơ quan đại diện (gồm 02 điều, Điều 34, Điều 35).</w:t>
      </w:r>
    </w:p>
    <w:p w:rsidR="00064174" w:rsidRDefault="00966D7D">
      <w:pPr>
        <w:spacing w:before="120" w:after="12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Chương IV. Cơ sở dữ liệu hộ tịch</w:t>
      </w:r>
      <w:r>
        <w:rPr>
          <w:rFonts w:ascii="Times New Roman" w:eastAsia="Times New Roman" w:hAnsi="Times New Roman" w:cs="Times New Roman"/>
          <w:b/>
          <w:bCs/>
          <w:color w:val="EE0000"/>
          <w:sz w:val="28"/>
          <w:szCs w:val="28"/>
        </w:rPr>
        <w:t xml:space="preserve"> </w:t>
      </w:r>
      <w:r>
        <w:rPr>
          <w:rFonts w:ascii="Times New Roman" w:eastAsia="Times New Roman" w:hAnsi="Times New Roman" w:cs="Times New Roman"/>
          <w:sz w:val="28"/>
          <w:szCs w:val="28"/>
        </w:rPr>
        <w:t>(từ Điều 36 đến Điều 40), quy định về xây dựng, quản lý Cơ sở dữ liệu hộ tịch; thông tin trong Cơ sở dữ liệu hộ tịch; cập nhật, thu thập, điều chỉnh thông tin hộ tịch cá n</w:t>
      </w:r>
      <w:r>
        <w:rPr>
          <w:rFonts w:ascii="Times New Roman" w:eastAsia="Times New Roman" w:hAnsi="Times New Roman" w:cs="Times New Roman"/>
          <w:sz w:val="28"/>
          <w:szCs w:val="28"/>
        </w:rPr>
        <w:t>hân trong Cơ sở dữ liệu hộ tịch; kết nối, chia sẻ, khai thác, sử dụng Cơ sở dữ liệu hộ tịch; trách nhiệm của cơ quan, tổ chức, cá nhân liên quan trong việc cung cấp, thu thập, cập nhật, điều chỉnh thông tin trong Cơ sở dữ liệu hộ tịch.</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Chương V. Trách nhiệm quản lý nhà nước về hộ tịch, công chức làm công tác hộ tịch (gồm 2 Mục, 9 điều, từ Điều 41 đến Điều 49):</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Mục 1 (từ Điều 41 đến Điều 46) quy định cụ thể chức năng, trách nhiệm quản lý nhà nước về hộ tịch từ Trung ương đến cơ sở, Cơ</w:t>
      </w:r>
      <w:r>
        <w:rPr>
          <w:rFonts w:ascii="Times New Roman" w:eastAsia="Times New Roman" w:hAnsi="Times New Roman" w:cs="Times New Roman"/>
          <w:sz w:val="28"/>
          <w:szCs w:val="28"/>
        </w:rPr>
        <w:t xml:space="preserve"> quan đại diện Việt Nam ở nước ngoài.</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Mục 2 (từ Điều 47 đến Điều 49) quy định về tiêu chuẩn, chức năng, nhiệm vụ, quyền hạn của công chức làm công tác hộ tịch, những việc công chức làm công tác hộ tịch không được làm.</w:t>
      </w:r>
    </w:p>
    <w:p w:rsidR="00064174" w:rsidRPr="00966D7D" w:rsidRDefault="00966D7D">
      <w:pPr>
        <w:tabs>
          <w:tab w:val="left" w:pos="2780"/>
          <w:tab w:val="center" w:pos="4631"/>
        </w:tabs>
        <w:spacing w:before="120" w:after="120" w:line="264" w:lineRule="auto"/>
        <w:ind w:firstLine="567"/>
        <w:jc w:val="both"/>
        <w:rPr>
          <w:rFonts w:ascii="Times New Roman" w:eastAsia="Times New Roman" w:hAnsi="Times New Roman" w:cs="Times New Roman"/>
          <w:spacing w:val="-4"/>
          <w:sz w:val="28"/>
          <w:szCs w:val="28"/>
        </w:rPr>
      </w:pPr>
      <w:r w:rsidRPr="00966D7D">
        <w:rPr>
          <w:rFonts w:ascii="Times New Roman" w:eastAsia="Times New Roman" w:hAnsi="Times New Roman" w:cs="Times New Roman"/>
          <w:spacing w:val="-4"/>
          <w:sz w:val="28"/>
          <w:szCs w:val="28"/>
        </w:rPr>
        <w:t xml:space="preserve">Chương VI. Điều khoản thi hành (gồm </w:t>
      </w:r>
      <w:r w:rsidRPr="00966D7D">
        <w:rPr>
          <w:rFonts w:ascii="Times New Roman" w:eastAsia="Times New Roman" w:hAnsi="Times New Roman" w:cs="Times New Roman"/>
          <w:spacing w:val="-4"/>
          <w:sz w:val="28"/>
          <w:szCs w:val="28"/>
        </w:rPr>
        <w:t>03 điều, từ Điều 50 đến Điều 52), quy định về giá trị pháp lý của sổ hộ tịch, giấy tờ hộ tịch được lập, cấp trước ngày Luật này có hiệu lực, điều khoản chuyển tiếp và hiệu lực thi hành của Luật Hộ tịch.</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Dự thảo Luật đề xuất giữ nguyên 06 điều; sửa đổi 31 đ</w:t>
      </w:r>
      <w:r>
        <w:rPr>
          <w:rFonts w:ascii="Times New Roman" w:eastAsia="Times New Roman" w:hAnsi="Times New Roman" w:cs="Times New Roman"/>
          <w:sz w:val="28"/>
          <w:szCs w:val="28"/>
        </w:rPr>
        <w:t>iều; bổ sung 06 điều; lược bỏ 34 điều của Luật Hộ tịch năm 2014. Do đó, theo quy định tại điểm b khoản 4 Điều 8 Luật Ban hành văn bản quy phạm pháp luật, Bộ Tư pháp đề nghị xây dựng dự án Luật Hộ tịch (sửa đổi) thay thế Luật Hộ tịch năm 2014.</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3. Nội dung cơ bản</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Trên cơ sở các chính sách của Luật Hộ tịch (sửa đổi) đã được Chính phủ thông qua, dự thảo Luật Hộ tịch sửa đổi, bổ sung, lược bỏ </w:t>
      </w:r>
      <w:r>
        <w:rPr>
          <w:rFonts w:ascii="Times New Roman" w:eastAsia="Times New Roman" w:hAnsi="Times New Roman" w:cs="Times New Roman"/>
          <w:b/>
          <w:bCs/>
          <w:sz w:val="28"/>
          <w:szCs w:val="28"/>
        </w:rPr>
        <w:t>71/77 Điều</w:t>
      </w:r>
      <w:r>
        <w:rPr>
          <w:rFonts w:ascii="Times New Roman" w:eastAsia="Times New Roman" w:hAnsi="Times New Roman" w:cs="Times New Roman"/>
          <w:sz w:val="28"/>
          <w:szCs w:val="28"/>
        </w:rPr>
        <w:t xml:space="preserve"> của Luật Hộ tịch năm 2014 nhằm thực hiện chủ trương sắp xếp, tổ chức bộ máy theo mô hình chính qu</w:t>
      </w:r>
      <w:r>
        <w:rPr>
          <w:rFonts w:ascii="Times New Roman" w:eastAsia="Times New Roman" w:hAnsi="Times New Roman" w:cs="Times New Roman"/>
          <w:sz w:val="28"/>
          <w:szCs w:val="28"/>
        </w:rPr>
        <w:t>yền địa phương 2 cấp; cắt giảm, đơn giản hóa thủ tục hành chính, bảo đảm quyền nhân thân, quyền công dân của cá nhân, tạo điều kiện thuận lợi nhất cho người dân; nâng cấp, phát triển Cơ sở dữ liệu hộ tịch điện tử đáp ứng nhu cầu chuyển đổi số quốc gia; chu</w:t>
      </w:r>
      <w:r>
        <w:rPr>
          <w:rFonts w:ascii="Times New Roman" w:eastAsia="Times New Roman" w:hAnsi="Times New Roman" w:cs="Times New Roman"/>
          <w:sz w:val="28"/>
          <w:szCs w:val="28"/>
        </w:rPr>
        <w:t>yên nghiệp hóa đội ngũ công chức hộ tịch bảo đảm tiêu chuẩn, năng lực phù hợp với vị trí việc làm, nâng cao chất lượng, hiệu quả thực thi nhiệm vụ quản lý nhà nước về hộ tịch, cụ thể như sau:</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3.1. Nội dung sửa đổi, hoàn thiện</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Sửa đổi các quy định về phâ</w:t>
      </w:r>
      <w:r>
        <w:rPr>
          <w:rFonts w:ascii="Times New Roman" w:eastAsia="Times New Roman" w:hAnsi="Times New Roman" w:cs="Times New Roman"/>
          <w:sz w:val="28"/>
          <w:szCs w:val="28"/>
        </w:rPr>
        <w:t>n quyền đăng ký hộ tịch</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Sau quá trình triển khai thực hiện các nhiệm vụ về phân quyền, phân cấp, phân định thẩm quyền theo Nghị định số 120/2025/NĐ-CP, Nghị định số 121/2025/NĐ-CP, Bộ Tư pháp đánh giá việc thực hiện các nhiệm vụ này cơ bản bảo đảm tính khả</w:t>
      </w:r>
      <w:r>
        <w:rPr>
          <w:rFonts w:ascii="Times New Roman" w:eastAsia="Times New Roman" w:hAnsi="Times New Roman" w:cs="Times New Roman"/>
          <w:sz w:val="28"/>
          <w:szCs w:val="28"/>
        </w:rPr>
        <w:t xml:space="preserve"> thi. Ngoài ra, thực hiện Kết luận 192-KL/TW, Kết luận 195-KL/TW, ngày 28/9/2025, Bộ Tư pháp đã phối hợp với Bộ Nội vụ thu thập, tổng hợp kết quả đánh giá của địa phương đối với các nhiệm vụ phân cấp, phân quyền, phân định thẩm quyền tại các văn bản quy ph</w:t>
      </w:r>
      <w:r>
        <w:rPr>
          <w:rFonts w:ascii="Times New Roman" w:eastAsia="Times New Roman" w:hAnsi="Times New Roman" w:cs="Times New Roman"/>
          <w:sz w:val="28"/>
          <w:szCs w:val="28"/>
        </w:rPr>
        <w:t xml:space="preserve">ạm pháp luật thuộc phạm vi quản lý nhà nước của Bộ Tư pháp. Kết quả cho thấy, các địa phương không có kiến nghị, phản ánh liên quan đến quy định của pháp luật về phân quyền, phân cấp trong lĩnh vực hộ tịch. </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Do vậy, nhằm bảo đảm phù hợp với mô hình tổ chức</w:t>
      </w:r>
      <w:r>
        <w:rPr>
          <w:rFonts w:ascii="Times New Roman" w:eastAsia="Times New Roman" w:hAnsi="Times New Roman" w:cs="Times New Roman"/>
          <w:sz w:val="28"/>
          <w:szCs w:val="28"/>
        </w:rPr>
        <w:t xml:space="preserve"> chính quyền địa phương 02 cấp theo chỉ đạo của Đảng và Nhà nước thời gian qua, dự thảo Luật sửa đổi 11 Điều của Luật Hộ tịch năm 2014 quy định liên quan đến thẩm quyền đăng ký hộ </w:t>
      </w:r>
      <w:r>
        <w:rPr>
          <w:rFonts w:ascii="Times New Roman" w:eastAsia="Times New Roman" w:hAnsi="Times New Roman" w:cs="Times New Roman"/>
          <w:sz w:val="28"/>
          <w:szCs w:val="28"/>
        </w:rPr>
        <w:lastRenderedPageBreak/>
        <w:t>tịch, trách nhiệm quản lý nhà nước trong lĩnh vực hộ tịch của Ủy ban nhân dâ</w:t>
      </w:r>
      <w:r>
        <w:rPr>
          <w:rFonts w:ascii="Times New Roman" w:eastAsia="Times New Roman" w:hAnsi="Times New Roman" w:cs="Times New Roman"/>
          <w:sz w:val="28"/>
          <w:szCs w:val="28"/>
        </w:rPr>
        <w:t>n cấp xã để tiếp nhận thẩm quyền đăng ký tất cả các loại việc về hộ tịch; phân định lại trách nhiệm quản lý nhà nước trong lĩnh vực hộ tịch theo hướng cấp Trung ương và cấp tỉnh chỉ tập trung vào thực hiện quản lý nhà nước</w:t>
      </w:r>
      <w:r>
        <w:rPr>
          <w:rFonts w:ascii="Times New Roman" w:eastAsia="Times New Roman" w:hAnsi="Times New Roman" w:cs="Times New Roman"/>
          <w:sz w:val="28"/>
          <w:szCs w:val="28"/>
          <w:vertAlign w:val="superscript"/>
        </w:rPr>
        <w:footnoteReference w:id="8"/>
      </w:r>
      <w:r>
        <w:rPr>
          <w:rFonts w:ascii="Times New Roman" w:eastAsia="Times New Roman" w:hAnsi="Times New Roman" w:cs="Times New Roman"/>
          <w:sz w:val="28"/>
          <w:szCs w:val="28"/>
        </w:rPr>
        <w:t xml:space="preserve">. </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Sửa đổi quy định về thủ tục</w:t>
      </w:r>
      <w:r>
        <w:rPr>
          <w:rFonts w:ascii="Times New Roman" w:eastAsia="Times New Roman" w:hAnsi="Times New Roman" w:cs="Times New Roman"/>
          <w:sz w:val="28"/>
          <w:szCs w:val="28"/>
        </w:rPr>
        <w:t xml:space="preserve"> đăng ký hộ tịch tại Ủy ban nhân dân cấp xã theo hướng đơn giản hóa thủ tục hành chính, thực hiện đăng ký hộ tịch không phụ thuộc vào nơi cư trú, ưu tiên khai thác, sử dụng dữ liệu điện tử</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Dự thảo Luật sửa đổi toàn bộ các quy định về thủ tục đăng ký hộ t</w:t>
      </w:r>
      <w:r>
        <w:rPr>
          <w:rFonts w:ascii="Times New Roman" w:eastAsia="Times New Roman" w:hAnsi="Times New Roman" w:cs="Times New Roman"/>
          <w:sz w:val="28"/>
          <w:szCs w:val="28"/>
        </w:rPr>
        <w:t>ịch tại Ủy ban nhân dân cấp xã, quy định rõ thẩm quyền, đối tượng, phạm vi của từng thủ tục đăng ký hộ tịch, bảo đảm bao quát toàn bộ các trường hợp đăng ký hộ tịch (cả trong nước và có yếu tố nước ngoài); thẩm quyền đăng ký hộ tịch được xác định theo hướn</w:t>
      </w:r>
      <w:r>
        <w:rPr>
          <w:rFonts w:ascii="Times New Roman" w:eastAsia="Times New Roman" w:hAnsi="Times New Roman" w:cs="Times New Roman"/>
          <w:sz w:val="28"/>
          <w:szCs w:val="28"/>
        </w:rPr>
        <w:t>g cho phép thực hiện đăng ký hộ tịch không phụ thuộc vào nơi cư trú trong phạm vi cấp tỉnh đối với các thủ tục đăng ký hộ tịch thiết yếu (đăng ký khai sinh, kết hôn, giám hộ, nhận cha, mẹ, con, khai tử) và đăng ký hộ tịch không phụ thuộc vào nơi cư trú tro</w:t>
      </w:r>
      <w:r>
        <w:rPr>
          <w:rFonts w:ascii="Times New Roman" w:eastAsia="Times New Roman" w:hAnsi="Times New Roman" w:cs="Times New Roman"/>
          <w:sz w:val="28"/>
          <w:szCs w:val="28"/>
        </w:rPr>
        <w:t>ng phạm vi toàn quốc đối với các thủ tục còn lại (đăng ký thay đổi thông tin hộ tịch; ghi vào Sổ hộ tịch việc hộ tịch của công dân Việt Nam đã được giải quyết tại cơ quan có thẩm quyền của nước ngoài; khai thác, sử dụng Cơ sở dữ liệu hộ tịch)</w:t>
      </w:r>
      <w:r>
        <w:rPr>
          <w:rFonts w:ascii="Times New Roman" w:eastAsia="Times New Roman" w:hAnsi="Times New Roman" w:cs="Times New Roman"/>
          <w:sz w:val="28"/>
          <w:szCs w:val="28"/>
          <w:vertAlign w:val="superscript"/>
        </w:rPr>
        <w:footnoteReference w:id="9"/>
      </w:r>
      <w:r>
        <w:rPr>
          <w:rFonts w:ascii="Times New Roman" w:eastAsia="Times New Roman" w:hAnsi="Times New Roman" w:cs="Times New Roman"/>
          <w:sz w:val="28"/>
          <w:szCs w:val="28"/>
        </w:rPr>
        <w:t>.</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Dự thảo L</w:t>
      </w:r>
      <w:r>
        <w:rPr>
          <w:rFonts w:ascii="Times New Roman" w:eastAsia="Times New Roman" w:hAnsi="Times New Roman" w:cs="Times New Roman"/>
          <w:sz w:val="28"/>
          <w:szCs w:val="28"/>
        </w:rPr>
        <w:t xml:space="preserve">uật sửa đổi các quy định về thủ tục đăng ký hộ tịch theo hướng đơn giản hoá, cắt giảm các giấy tờ không cần thiết hoặc đã có thông tin trong cơ sở dữ liệu, cơ quan đăng ký hộ tịch phải chủ động khai thác, tra cứu thông tin qua các Cơ sở dữ liệu, không yêu </w:t>
      </w:r>
      <w:r>
        <w:rPr>
          <w:rFonts w:ascii="Times New Roman" w:eastAsia="Times New Roman" w:hAnsi="Times New Roman" w:cs="Times New Roman"/>
          <w:sz w:val="28"/>
          <w:szCs w:val="28"/>
        </w:rPr>
        <w:t>cầu người dân phải nộp, xuất trình khi thực hiện đăng ký hộ tịch</w:t>
      </w:r>
      <w:r>
        <w:rPr>
          <w:rFonts w:ascii="Times New Roman" w:eastAsia="Times New Roman" w:hAnsi="Times New Roman" w:cs="Times New Roman"/>
          <w:sz w:val="28"/>
          <w:szCs w:val="28"/>
          <w:vertAlign w:val="superscript"/>
        </w:rPr>
        <w:footnoteReference w:id="10"/>
      </w:r>
      <w:r>
        <w:rPr>
          <w:rFonts w:ascii="Times New Roman" w:eastAsia="Times New Roman" w:hAnsi="Times New Roman" w:cs="Times New Roman"/>
          <w:sz w:val="28"/>
          <w:szCs w:val="28"/>
        </w:rPr>
        <w:t>.</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Dự thảo Luật sửa đổi các quy định về phương thức nộp, tiếp nhận, trả kết quả đăng ký hộ tịch</w:t>
      </w:r>
      <w:r>
        <w:t xml:space="preserve"> </w:t>
      </w:r>
      <w:r>
        <w:rPr>
          <w:rFonts w:ascii="Times New Roman" w:eastAsia="Times New Roman" w:hAnsi="Times New Roman" w:cs="Times New Roman"/>
          <w:sz w:val="28"/>
          <w:szCs w:val="28"/>
        </w:rPr>
        <w:t xml:space="preserve">theo hướng linh hoạt, thuận lợi hơn, khẳng định người dân có quyền lựa chọn nộp hồ sơ đăng ký </w:t>
      </w:r>
      <w:r>
        <w:rPr>
          <w:rFonts w:ascii="Times New Roman" w:eastAsia="Times New Roman" w:hAnsi="Times New Roman" w:cs="Times New Roman"/>
          <w:sz w:val="28"/>
          <w:szCs w:val="28"/>
        </w:rPr>
        <w:t>hộ tịch theo phương thức trực tiếp hoặc gửi qua hệ thống bưu chính hoặc nộp hồ sơ trực tuyến; bảo đảm thực hiện đăng ký hộ tịch trực tuyến đối với tất cả các thủ tục về hộ tịch, trực tuyến toàn trình đối với hầu hết các thủ tục (trừ thủ tục đăng ký kết hôn</w:t>
      </w:r>
      <w:r>
        <w:rPr>
          <w:rFonts w:ascii="Times New Roman" w:eastAsia="Times New Roman" w:hAnsi="Times New Roman" w:cs="Times New Roman"/>
          <w:sz w:val="28"/>
          <w:szCs w:val="28"/>
        </w:rPr>
        <w:t xml:space="preserve">, đăng ký nhận cha, mẹ, con, đăng ký giám hộ - là các việc hộ tịch </w:t>
      </w:r>
      <w:r>
        <w:rPr>
          <w:rFonts w:ascii="Times New Roman" w:eastAsia="Times New Roman" w:hAnsi="Times New Roman" w:cs="Times New Roman"/>
          <w:sz w:val="28"/>
          <w:szCs w:val="28"/>
          <w:highlight w:val="white"/>
        </w:rPr>
        <w:t>cần xác định trực tiếp các bên còn sống, đủ năng lực hành vi dân sự hoặc đủ khả năng thực hiện trách nhiệm giám hộ tại thời điểm xác lập việc đăng ký)</w:t>
      </w:r>
      <w:r>
        <w:rPr>
          <w:rFonts w:ascii="Times New Roman" w:eastAsia="Times New Roman" w:hAnsi="Times New Roman" w:cs="Times New Roman"/>
          <w:sz w:val="28"/>
          <w:szCs w:val="28"/>
          <w:vertAlign w:val="superscript"/>
        </w:rPr>
        <w:footnoteReference w:id="11"/>
      </w:r>
      <w:r>
        <w:rPr>
          <w:rFonts w:ascii="Times New Roman" w:eastAsia="Times New Roman" w:hAnsi="Times New Roman" w:cs="Times New Roman"/>
          <w:sz w:val="28"/>
          <w:szCs w:val="28"/>
        </w:rPr>
        <w:t>.</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Dự thảo Luật sửa đổi quy định về S</w:t>
      </w:r>
      <w:r>
        <w:rPr>
          <w:rFonts w:ascii="Times New Roman" w:eastAsia="Times New Roman" w:hAnsi="Times New Roman" w:cs="Times New Roman"/>
          <w:sz w:val="28"/>
          <w:szCs w:val="28"/>
        </w:rPr>
        <w:t>ổ hộ tịch theo hướng: Sổ hộ tịch bao gồm cả sổ giấy và sổ hộ tịch điện tử. Theo đó, chỉ mở sổ giấy (sổ theo mẫu, in sẵn, công chức viết tay) đối với 03 việc hộ tịch quan trọng, thiết yếu: khai sinh, kết hôn, khai tử (theo quy định hiện nay công chức hộ tịc</w:t>
      </w:r>
      <w:r>
        <w:rPr>
          <w:rFonts w:ascii="Times New Roman" w:eastAsia="Times New Roman" w:hAnsi="Times New Roman" w:cs="Times New Roman"/>
          <w:sz w:val="28"/>
          <w:szCs w:val="28"/>
        </w:rPr>
        <w:t xml:space="preserve">h viết tay tất cả các loại </w:t>
      </w:r>
      <w:r>
        <w:rPr>
          <w:rFonts w:ascii="Times New Roman" w:eastAsia="Times New Roman" w:hAnsi="Times New Roman" w:cs="Times New Roman"/>
          <w:sz w:val="28"/>
          <w:szCs w:val="28"/>
        </w:rPr>
        <w:lastRenderedPageBreak/>
        <w:t>sổ hộ tịch). Các loại sổ hộ tịch khác, sẽ in từ CSDLHT để lưu trữ theo quy định, giảm bớt thời gian tác nghiệp, tăng cường hiệu quả của dữ liệu điện tử, Phần mềm (khoản 3 Điều 5), vẫn bảo đảm nguyên tắc có 02 nguồn lưu trữ để bảo</w:t>
      </w:r>
      <w:r>
        <w:rPr>
          <w:rFonts w:ascii="Times New Roman" w:eastAsia="Times New Roman" w:hAnsi="Times New Roman" w:cs="Times New Roman"/>
          <w:sz w:val="28"/>
          <w:szCs w:val="28"/>
        </w:rPr>
        <w:t xml:space="preserve"> đảm tính an toàn của dữ liệu gốc, quan trọng nhất của mỗi cá nhân và tính đồng bộ, thống nhất giữa 02 nguồn dữ liệu.</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Dự thảo Luật sửa đổi các quy định về giấy tờ hộ tịch theo hướng xác định giấy tờ hộ tịch bao gồm: Giấy khai sinh, Giấy chứng nhận kết hô</w:t>
      </w:r>
      <w:r>
        <w:rPr>
          <w:rFonts w:ascii="Times New Roman" w:eastAsia="Times New Roman" w:hAnsi="Times New Roman" w:cs="Times New Roman"/>
          <w:sz w:val="28"/>
          <w:szCs w:val="28"/>
        </w:rPr>
        <w:t xml:space="preserve">n, Giấy chứng tử và các quyết định, văn bản là kết quả giải quyết các thủ tục hành chính về đăng ký hộ tịch (bản chính, bản sao, bản giấy, bản điện tử) do cơ quan đăng ký, quản lý hộ tịch có thẩm quyền cấp, xác nhận (khoản 5 Điều 5). </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Dự thảo Luật giao C</w:t>
      </w:r>
      <w:r>
        <w:rPr>
          <w:rFonts w:ascii="Times New Roman" w:eastAsia="Times New Roman" w:hAnsi="Times New Roman" w:cs="Times New Roman"/>
          <w:sz w:val="28"/>
          <w:szCs w:val="28"/>
        </w:rPr>
        <w:t>hính phủ quy định chi tiết về điều kiện thực hiện, thành phần hồ sơ, thời hạn, trình tự, thủ tục đăng ký hộ tịch theo hướng cắt giảm giấy tờ phải nộp, xuất trình đã khai thác được trong các cơ sở dữ liệu, rút ngắn và bảo đảm khả thi về thời hạn giải quyết,</w:t>
      </w:r>
      <w:r>
        <w:rPr>
          <w:rFonts w:ascii="Times New Roman" w:eastAsia="Times New Roman" w:hAnsi="Times New Roman" w:cs="Times New Roman"/>
          <w:sz w:val="28"/>
          <w:szCs w:val="28"/>
        </w:rPr>
        <w:t xml:space="preserve"> trả kết quả đăng ký hộ tịch - là những nội dung dễ thay đổi, biến động để bảo đảm Luật chỉ quy định những vấn đề khung, những vấn đề có tính nguyên tắc. </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Sửa đổi quy định về CSDLHTĐT</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Dự thảo Luật xác định CSDLHT là cơ sở dữ liệu quốc gia, được xây dựng</w:t>
      </w:r>
      <w:r>
        <w:rPr>
          <w:rFonts w:ascii="Times New Roman" w:eastAsia="Times New Roman" w:hAnsi="Times New Roman" w:cs="Times New Roman"/>
          <w:sz w:val="28"/>
          <w:szCs w:val="28"/>
        </w:rPr>
        <w:t>, quản lý tập trung từ Trung ương đến địa phương do Bộ Tư pháp quản lý; được bảo đảm an ninh, an toàn thông tin, có khả năng mở rộng, nâng cấp; kết nối, chia sẻ với các cơ sở dữ liệu quốc gia và CSDL chuyên ngành khác; sử dụng thống nhất thuật ngữ “Cơ sở d</w:t>
      </w:r>
      <w:r>
        <w:rPr>
          <w:rFonts w:ascii="Times New Roman" w:eastAsia="Times New Roman" w:hAnsi="Times New Roman" w:cs="Times New Roman"/>
          <w:sz w:val="28"/>
          <w:szCs w:val="28"/>
        </w:rPr>
        <w:t>ữ liệu hộ tịch” để phù hợp với Luật Dữ liệu và Luật Giao dịch điện tử (khoản 3 Điều 5, Chương V dự thảo Luật).</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Sửa đổi quy định về trách nhiệm quản lý nhà nước trong lĩnh vực hộ tịch, công chức làm công tác hộ tịch</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Dự thảo Luật sửa đổi quy định về trách nhiệm UBND cấp tỉnh trong việc chỉ đạo thực hiện đăng ký, quản lý hộ tịch; thu hồi, hủy bỏ giấy tờ hộ tịch, thông tin hộ tịch cấp, đăng ký trái quy định pháp luật; cơ chế ủy quyền cho Giám đốc Sở Tư pháp thực hiện h</w:t>
      </w:r>
      <w:r>
        <w:rPr>
          <w:rFonts w:ascii="Times New Roman" w:eastAsia="Times New Roman" w:hAnsi="Times New Roman" w:cs="Times New Roman"/>
          <w:sz w:val="28"/>
          <w:szCs w:val="28"/>
        </w:rPr>
        <w:t>oạt động này (Điều 45 dự thảo Luật).</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Dự thảo Luật sửa đổi quy định về trách nhiệm của UBND cấp xã trong việc bảo đảm trang thiết bị, cơ sở hạ tầng, kinh phí xây dựng, cập nhật, khai thác, sử dụng Cơ sở dữ liệu hộ tịch điện tử trong phạm vi địa phương quả</w:t>
      </w:r>
      <w:r>
        <w:rPr>
          <w:rFonts w:ascii="Times New Roman" w:eastAsia="Times New Roman" w:hAnsi="Times New Roman" w:cs="Times New Roman"/>
          <w:sz w:val="28"/>
          <w:szCs w:val="28"/>
        </w:rPr>
        <w:t>n lý; tổng hợp, đánh giá tình hình thực hiện công tác đăng ký, quản lý hộ tịch và thống kê số liệu đăng ký hộ tịch báo cáo Ủy ban nhân dân cấp tỉnh (Điều 46 dự thảo Luật).</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 Sửa đổi quy định về công chức làm công tác hộ tịch</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Dự thảo Luật sửa đổi quy định </w:t>
      </w:r>
      <w:r>
        <w:rPr>
          <w:rFonts w:ascii="Times New Roman" w:eastAsia="Times New Roman" w:hAnsi="Times New Roman" w:cs="Times New Roman"/>
          <w:sz w:val="28"/>
          <w:szCs w:val="28"/>
        </w:rPr>
        <w:t>về công chức làm công tác hộ tịch (Điều 51 dự thảo Luật) theo hướng:</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Sửa đổi, bổ sung điều kiện, tiêu chuẩn của công chức hộ tịch cấp xã: đáp ứng đầy đủ các yêu cầu về vị trí việc làm hộ tịch, tiêu chuẩn chung của công chức, tiêu chuẩn về trình độ chuyên</w:t>
      </w:r>
      <w:r>
        <w:rPr>
          <w:rFonts w:ascii="Times New Roman" w:eastAsia="Times New Roman" w:hAnsi="Times New Roman" w:cs="Times New Roman"/>
          <w:sz w:val="28"/>
          <w:szCs w:val="28"/>
        </w:rPr>
        <w:t xml:space="preserve"> môn, kỹ năng ứng dụng công nghệ thông tin, khả năng khai thác, sử dụng Cơ sở dữ liệu hộ tịch, Cơ sở dữ liệu quốc gia về dân cư và các tiêu chuẩn khác theo quy định của pháp luật; công chức hộ tịch cấp xã có trách nhiệm giúp Ủy ban nhân dân cấp xã thực hiệ</w:t>
      </w:r>
      <w:r>
        <w:rPr>
          <w:rFonts w:ascii="Times New Roman" w:eastAsia="Times New Roman" w:hAnsi="Times New Roman" w:cs="Times New Roman"/>
          <w:sz w:val="28"/>
          <w:szCs w:val="28"/>
        </w:rPr>
        <w:t xml:space="preserve">n đăng ký hộ tịch, cập nhật, quản lý, khai thác, sử dụng thông tin hộ tịch và thực hiện các nhiệm vụ khác theo quy định của pháp luật về hộ tịch, không kiêm nhiệm nhiệm vụ khác, trừ trường hợp đặc biệt do Ủy ban nhân dân cấp tỉnh quyết định nhưng phải bảo </w:t>
      </w:r>
      <w:r>
        <w:rPr>
          <w:rFonts w:ascii="Times New Roman" w:eastAsia="Times New Roman" w:hAnsi="Times New Roman" w:cs="Times New Roman"/>
          <w:sz w:val="28"/>
          <w:szCs w:val="28"/>
        </w:rPr>
        <w:t xml:space="preserve">đảm không ảnh hưởng đến chất lượng giải quyết công việc hộ tịch. </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Giao Chính phủ quy định chi tiết về vị trí việc làm của công chức hộ tịch ở cấp xã; điều kiện, tiêu chuẩn nghiệp vụ, đào tạo, bồi dưỡng cho công chức làm công tác hộ tịch; việc ủy quyền ký</w:t>
      </w:r>
      <w:r>
        <w:rPr>
          <w:rFonts w:ascii="Times New Roman" w:eastAsia="Times New Roman" w:hAnsi="Times New Roman" w:cs="Times New Roman"/>
          <w:sz w:val="28"/>
          <w:szCs w:val="28"/>
        </w:rPr>
        <w:t xml:space="preserve"> giấy tờ hộ tịch; cơ chế bảo đảm, chế độ chính sách đối với công chức làm công tác hộ tịch.</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3.2. Nội dung bổ sung</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Dự thảo Luật bổ sung quy định về đối tượng áp dụng (Điều 2); giá trị sử dụng của giấy tờ hộ tịch, thông tin hộ tịch, dữ liệu hộ tịch điện tử nhằm bảo đảm tính pháp lý của việc sử dụng, khai thác dữ liệu điện tử khi thực hiện các thủ tục hành chính (Điều</w:t>
      </w:r>
      <w:r>
        <w:rPr>
          <w:rFonts w:ascii="Times New Roman" w:eastAsia="Times New Roman" w:hAnsi="Times New Roman" w:cs="Times New Roman"/>
          <w:sz w:val="28"/>
          <w:szCs w:val="28"/>
        </w:rPr>
        <w:t xml:space="preserve"> 10 dự thảo Luật).</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b) Dự thảo Luật bổ sung quy định về xây dựng, cập nhật, khai thác, sử dụng Cơ sở dữ liệu hộ tịch bảo đảm phù hợp với các tiêu chí về xây dựng, cập nhật, duy trì, khai thác, sử dụng đối với cơ sở dữ liệu quốc gia (Chương IV dự thảo Luật) </w:t>
      </w:r>
      <w:r>
        <w:rPr>
          <w:rFonts w:ascii="Times New Roman" w:eastAsia="Times New Roman" w:hAnsi="Times New Roman" w:cs="Times New Roman"/>
          <w:sz w:val="28"/>
          <w:szCs w:val="28"/>
        </w:rPr>
        <w:t xml:space="preserve">bao gồm: </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Quy định về xây dựng, quản lý Cơ sở dữ liệu hộ tịch. Theo đó, Cơ sở dữ liệu hộ tịch là cơ sở dữ liệu quốc gia, được xây dựng tập trung, thống nhất từ Trung ương đến địa phương do Bộ Tư pháp quản lý (Điều 36).</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Thông tin trong Cơ sở dữ liệu hộ </w:t>
      </w:r>
      <w:r>
        <w:rPr>
          <w:rFonts w:ascii="Times New Roman" w:eastAsia="Times New Roman" w:hAnsi="Times New Roman" w:cs="Times New Roman"/>
          <w:sz w:val="28"/>
          <w:szCs w:val="28"/>
        </w:rPr>
        <w:t>tịch, bao gồm các thông tin của cá nhân được xác lập, cập nhật khi đăng ký hộ tịch; các thông tin của cá nhân được thu thập, chia sẻ từ các nguồn tài liệu, dữ liệu khác phù hợp quy định pháp luật;  bản quét hoặc bản chụp trang Sổ hộ tịch, giấy tờ hộ tịch t</w:t>
      </w:r>
      <w:r>
        <w:rPr>
          <w:rFonts w:ascii="Times New Roman" w:eastAsia="Times New Roman" w:hAnsi="Times New Roman" w:cs="Times New Roman"/>
          <w:sz w:val="28"/>
          <w:szCs w:val="28"/>
        </w:rPr>
        <w:t>ương ứng đối với thông tin hộ tịch được số hóa, chuẩn hóa, thu thập theo quy định (Điều 37)</w:t>
      </w:r>
    </w:p>
    <w:p w:rsidR="00064174" w:rsidRDefault="00966D7D">
      <w:pPr>
        <w:spacing w:before="120" w:after="120" w:line="288"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 </w:t>
      </w:r>
      <w:r>
        <w:rPr>
          <w:rFonts w:ascii="Times New Roman" w:eastAsia="Times New Roman" w:hAnsi="Times New Roman" w:cs="Times New Roman"/>
          <w:sz w:val="28"/>
          <w:szCs w:val="28"/>
        </w:rPr>
        <w:t>Việc thu thập, cập nhật, điều chỉnh thông tin hộ tịch cá nhân trong Cơ sở dữ liệu hộ tịch (Điều 38).</w:t>
      </w:r>
    </w:p>
    <w:p w:rsidR="00064174" w:rsidRDefault="00966D7D">
      <w:pPr>
        <w:pBdr>
          <w:top w:val="nil"/>
          <w:left w:val="nil"/>
          <w:bottom w:val="nil"/>
          <w:right w:val="nil"/>
          <w:between w:val="nil"/>
        </w:pBd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Việc kết nối, chia sẻ thông tin giữa Cơ sở dữ liệu hộ tịch </w:t>
      </w:r>
      <w:r>
        <w:rPr>
          <w:rFonts w:ascii="Times New Roman" w:eastAsia="Times New Roman" w:hAnsi="Times New Roman" w:cs="Times New Roman"/>
          <w:sz w:val="28"/>
          <w:szCs w:val="28"/>
        </w:rPr>
        <w:t>với các cơ sở dữ liệu quốc gia, cơ sở dữ liệu chuyên ngành; trách nhiệm của cơ quan, tổ chức, cá nhân liên quan trong việc cung cấp, thu thập, cập nhật, điều chỉnh thông tin trong Cơ sở dữ liệu hộ tịch.</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c) Dự thảo Luật bổ sung quy định về đăng ký khai sinh</w:t>
      </w:r>
      <w:r>
        <w:rPr>
          <w:rFonts w:ascii="Times New Roman" w:eastAsia="Times New Roman" w:hAnsi="Times New Roman" w:cs="Times New Roman"/>
          <w:sz w:val="28"/>
          <w:szCs w:val="28"/>
        </w:rPr>
        <w:t>, đăng ký khai tử chủ động đối với các trường hợp sinh mà người thân thích đã cung cấp đủ nội dung đăng ký khai sinh; các trường hợp tử vong tại cơ sở khám, chữa bệnh, dữ liệu khai sinh, khai tử được kết nối, chia sẻ tự động tới hệ thống đăng ký, quản lý h</w:t>
      </w:r>
      <w:r>
        <w:rPr>
          <w:rFonts w:ascii="Times New Roman" w:eastAsia="Times New Roman" w:hAnsi="Times New Roman" w:cs="Times New Roman"/>
          <w:sz w:val="28"/>
          <w:szCs w:val="28"/>
        </w:rPr>
        <w:t>ộ tịch điện tử (khoản 4 Điều 18, khoản 3 Điều 31 dự thảo Luật).</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Dự thảo Luật bổ sung quy định về ủy quyền cho công chức hộ tịch ký các giấy tờ hộ tịch nhằm tăng cường tinh thần trách nhiệm của công chức hộ tịch, đồng thời rút ngắn thời gian thực hiện, b</w:t>
      </w:r>
      <w:r>
        <w:rPr>
          <w:rFonts w:ascii="Times New Roman" w:eastAsia="Times New Roman" w:hAnsi="Times New Roman" w:cs="Times New Roman"/>
          <w:sz w:val="28"/>
          <w:szCs w:val="28"/>
        </w:rPr>
        <w:t>ảo đảm tính liên tục của hoạt động đăng ký hộ tịch trong mọi tình huống (khoản 3 Điều 8).</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3.3. Nội dung lược bỏ</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Dự thảo Luật đề xuất lược bỏ 34 điều, trong đó có 19 điều quy định về thẩm quyền, trình tự, thủ tục, trách nhiệm quản lý nhà nước trong lĩnh vực</w:t>
      </w:r>
      <w:r>
        <w:rPr>
          <w:rFonts w:ascii="Times New Roman" w:eastAsia="Times New Roman" w:hAnsi="Times New Roman" w:cs="Times New Roman"/>
          <w:sz w:val="28"/>
          <w:szCs w:val="28"/>
        </w:rPr>
        <w:t xml:space="preserve"> hộ tịch của Ủy ban nhân dân cấp huyện; 03 điều quy định về cấp bản sao trích lục hộ tịch do thủ tục này là việc khai thác, sử dụng Cơ sở dữ liệu hộ tịch - giao Chính phủ quy định chi tiết việc khai thác, sử dụng Cơ sở dữ liệu hộ tịch để thực hiện; 12 điều</w:t>
      </w:r>
      <w:r>
        <w:rPr>
          <w:rFonts w:ascii="Times New Roman" w:eastAsia="Times New Roman" w:hAnsi="Times New Roman" w:cs="Times New Roman"/>
          <w:sz w:val="28"/>
          <w:szCs w:val="28"/>
        </w:rPr>
        <w:t xml:space="preserve"> quy định về đăng ký giám hộ, chấm dứt giám hộ, thay đổi giám hộ, cải chính, bổ sung hộ tịch, xác định lại dân tộc và một số nội dung khác do đã được thu hút vào thủ tục đăng ký giám hộ, giám sát việc giám hộ, thay đổi thông tin hộ tịch và các nội dung quy</w:t>
      </w:r>
      <w:r>
        <w:rPr>
          <w:rFonts w:ascii="Times New Roman" w:eastAsia="Times New Roman" w:hAnsi="Times New Roman" w:cs="Times New Roman"/>
          <w:sz w:val="28"/>
          <w:szCs w:val="28"/>
        </w:rPr>
        <w:t xml:space="preserve"> định liên quan.</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3.4. Nội dung cắt giảm, đơn giản hóa thủ tục hành chính</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Dự thảo Luật quy định thủ tục đăng ký hộ tịch theo hướng đơn giản hóa thủ tục hành chính, đẩy mạnh đăng ký hộ tịch trực tuyến toàn trình, không phụ thuộc nơi cư trú: </w:t>
      </w:r>
    </w:p>
    <w:p w:rsidR="00064174" w:rsidRPr="00966D7D" w:rsidRDefault="00966D7D">
      <w:pPr>
        <w:tabs>
          <w:tab w:val="left" w:pos="2780"/>
          <w:tab w:val="center" w:pos="4631"/>
        </w:tabs>
        <w:spacing w:before="120" w:after="120" w:line="264" w:lineRule="auto"/>
        <w:ind w:firstLine="567"/>
        <w:jc w:val="both"/>
        <w:rPr>
          <w:rFonts w:ascii="Times New Roman" w:eastAsia="Times New Roman" w:hAnsi="Times New Roman" w:cs="Times New Roman"/>
          <w:spacing w:val="-2"/>
          <w:sz w:val="28"/>
          <w:szCs w:val="28"/>
        </w:rPr>
      </w:pPr>
      <w:r w:rsidRPr="00966D7D">
        <w:rPr>
          <w:rFonts w:ascii="Times New Roman" w:eastAsia="Times New Roman" w:hAnsi="Times New Roman" w:cs="Times New Roman"/>
          <w:spacing w:val="-2"/>
          <w:sz w:val="28"/>
          <w:szCs w:val="28"/>
        </w:rPr>
        <w:t>- Cho phép người</w:t>
      </w:r>
      <w:r w:rsidRPr="00966D7D">
        <w:rPr>
          <w:rFonts w:ascii="Times New Roman" w:eastAsia="Times New Roman" w:hAnsi="Times New Roman" w:cs="Times New Roman"/>
          <w:spacing w:val="-2"/>
          <w:sz w:val="28"/>
          <w:szCs w:val="28"/>
        </w:rPr>
        <w:t xml:space="preserve"> dân thực hiện đăng ký khai sinh, kết hôn, khai tử, giám hộ, nhận cha, mẹ, con tại cơ quan đăng ký hộ tịch không phụ thuộc vào nơi cư trú trong phạm vi cấp tỉnh; đăng ký thay đổi hộ tịch, ghi vào sổ hộ tịch việc hộ tịch đã giải quyết tại cơ quan có thẩm qu</w:t>
      </w:r>
      <w:r w:rsidRPr="00966D7D">
        <w:rPr>
          <w:rFonts w:ascii="Times New Roman" w:eastAsia="Times New Roman" w:hAnsi="Times New Roman" w:cs="Times New Roman"/>
          <w:spacing w:val="-2"/>
          <w:sz w:val="28"/>
          <w:szCs w:val="28"/>
        </w:rPr>
        <w:t xml:space="preserve">yền của nước ngoài, đề nghị khai thác thông tin trong Cơ sở dữ liệu hộ tịch để cấp bản sao giấy tờ hộ tịch, văn bản xác nhận thông tin hộ tịch tại bất kỳ Ủy ban nhân dân cấp xã nào, không phụ thuộc </w:t>
      </w:r>
      <w:r w:rsidRPr="00966D7D">
        <w:rPr>
          <w:rFonts w:ascii="Times New Roman" w:eastAsia="Times New Roman" w:hAnsi="Times New Roman" w:cs="Times New Roman"/>
          <w:spacing w:val="-2"/>
          <w:sz w:val="28"/>
          <w:szCs w:val="28"/>
        </w:rPr>
        <w:t>nơi cư trú.</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Cắt giảm thành phần hồ sơ là bản giấy theo </w:t>
      </w:r>
      <w:r>
        <w:rPr>
          <w:rFonts w:ascii="Times New Roman" w:eastAsia="Times New Roman" w:hAnsi="Times New Roman" w:cs="Times New Roman"/>
          <w:sz w:val="28"/>
          <w:szCs w:val="28"/>
        </w:rPr>
        <w:t>nguyên tắc: cơ quan đăng ký hộ tịch khai thác, sử dụng dữ liệu điện tử từ các cơ sở dữ liệu để giải quyết yêu cầu đăng ký hộ tịch, không yêu cầu người dân phải nộp, xuất trình nếu khai thác được dữ liệu.</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Bổ sung quy định cho phép đăng ký khai sinh, đăng </w:t>
      </w:r>
      <w:r>
        <w:rPr>
          <w:rFonts w:ascii="Times New Roman" w:eastAsia="Times New Roman" w:hAnsi="Times New Roman" w:cs="Times New Roman"/>
          <w:sz w:val="28"/>
          <w:szCs w:val="28"/>
        </w:rPr>
        <w:t>ký khai tử “chủ động” đối với các trường hợp sinh hoặc tử vong tại cơ sở khám, chữa bệnh và dữ liệu đăng ký khai sinh, khai tử được kết nối, chia sẻ tới hệ thống đăng ký, quản lý hộ tịch điện tử.</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Người dân được lựa chọn nộp hồ sơ và nhận kết quả bằng nhi</w:t>
      </w:r>
      <w:r>
        <w:rPr>
          <w:rFonts w:ascii="Times New Roman" w:eastAsia="Times New Roman" w:hAnsi="Times New Roman" w:cs="Times New Roman"/>
          <w:sz w:val="28"/>
          <w:szCs w:val="28"/>
        </w:rPr>
        <w:t>ều hình thức (trực tiếp, qua hệ thống bưu chính, trên môi trường điện tử), không phải có mặt tại cơ quan đăng ký hộ tịch để ký vào Sổ hộ tịch nên có thể yêu cầu đăng ký trực tuyến toàn trình với hầu hết các thủ tục (trừ các thủ tục đăng ký hộ tịch thiết yế</w:t>
      </w:r>
      <w:r>
        <w:rPr>
          <w:rFonts w:ascii="Times New Roman" w:eastAsia="Times New Roman" w:hAnsi="Times New Roman" w:cs="Times New Roman"/>
          <w:sz w:val="28"/>
          <w:szCs w:val="28"/>
        </w:rPr>
        <w:t xml:space="preserve">u, có điều kiện như: kết hôn, giám hộ, nhận cha, mẹ, con). </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Giao Chính phủ quy định chi tiết về thành phần hồ sơ, thời hạn, trình tự, thủ tục giải quyết, bảo đảm rút ngắn thời gian giải quyết, cắt giảm tối đa thành phần hồ sơ.</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3.5. Nội dung phân quyền, phân cấp</w:t>
      </w:r>
    </w:p>
    <w:p w:rsidR="00064174" w:rsidRDefault="00966D7D">
      <w:pPr>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Để thể chế hóa chủ trương của Đảng về việc hoàn thiện các quy định về phân cấp, phân quyền, dự thảo Luật quy định phân quyền triệt để việc đăng ký hộ tịch cho Ủy ban nhân dân cấp xã, trong đó xác định rõ trách nhiệm giữa </w:t>
      </w:r>
      <w:r>
        <w:rPr>
          <w:rFonts w:ascii="Times New Roman" w:eastAsia="Times New Roman" w:hAnsi="Times New Roman" w:cs="Times New Roman"/>
          <w:sz w:val="28"/>
          <w:szCs w:val="28"/>
        </w:rPr>
        <w:t>Trung ương và địa phương, giữa các chính quyền cấp tỉnh và cấp xã, đáp ứng yêu cầu tinh gọn tổ chức bộ máy của hệ thống chính trị, sắp xếp đơn vị hành chính, gắn với phân cấp, phân quyền tối đa theo phương châm “địa phương quyết, địa phương làm, địa phương</w:t>
      </w:r>
      <w:r>
        <w:rPr>
          <w:rFonts w:ascii="Times New Roman" w:eastAsia="Times New Roman" w:hAnsi="Times New Roman" w:cs="Times New Roman"/>
          <w:sz w:val="28"/>
          <w:szCs w:val="28"/>
        </w:rPr>
        <w:t xml:space="preserve"> chịu trách nhiệm”. </w:t>
      </w:r>
    </w:p>
    <w:p w:rsidR="00064174" w:rsidRDefault="00966D7D">
      <w:pPr>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Đồng thời, để bảo đảm tính chủ động trong giải quyết TTHC, rút ngắn thời gian xử lý, nâng cao chất lượng phục vụ người dân, dự thảo Luật bổ sung quy định cho phép UBND cấp xã căn cứ tình hình thực tế tại địa phương, quy định của Luật T</w:t>
      </w:r>
      <w:r>
        <w:rPr>
          <w:rFonts w:ascii="Times New Roman" w:eastAsia="Times New Roman" w:hAnsi="Times New Roman" w:cs="Times New Roman"/>
          <w:sz w:val="28"/>
          <w:szCs w:val="28"/>
        </w:rPr>
        <w:t>ổ chức chính quyền địa phương, quyết định việc ủy quyền cho công chức hộ tịch ký các giấy tờ hộ tịch (trừ việc khai sinh, kết hôn, khai tử và các việc hộ tịch có yếu tố nước ngoài). Cơ chế ủy quyền này phù hợp với chủ trương phân cấp, phân quyền trong quản</w:t>
      </w:r>
      <w:r>
        <w:rPr>
          <w:rFonts w:ascii="Times New Roman" w:eastAsia="Times New Roman" w:hAnsi="Times New Roman" w:cs="Times New Roman"/>
          <w:sz w:val="28"/>
          <w:szCs w:val="28"/>
        </w:rPr>
        <w:t xml:space="preserve"> lý nhà nước, tạo điều kiện để chính quyền cơ sở hoạt động linh hoạt, hiệu quả; tăng cường tính chịu trách nhiệm của công chức hộ tịch, bảo đảm tính liên tục của hoạt động đăng ký hộ tịch trong mọi tình huống. Việc quy định rõ phạm vi, trách nhiệm và chế đ</w:t>
      </w:r>
      <w:r>
        <w:rPr>
          <w:rFonts w:ascii="Times New Roman" w:eastAsia="Times New Roman" w:hAnsi="Times New Roman" w:cs="Times New Roman"/>
          <w:sz w:val="28"/>
          <w:szCs w:val="28"/>
        </w:rPr>
        <w:t>ộ kiểm tra đối với công chức được ủy quyền sẽ vừa bảo đảm an toàn pháp lý, vừa đáp ứng yêu cầu cải cách thủ tục hành chính trong lĩnh vực hộ tịch.</w:t>
      </w:r>
    </w:p>
    <w:p w:rsidR="00064174" w:rsidRDefault="00966D7D">
      <w:pPr>
        <w:spacing w:before="120" w:after="120" w:line="264" w:lineRule="auto"/>
        <w:ind w:firstLine="567"/>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3.6. Những nội dung ứng dụng, thúc đẩy phát triển khoa học, công nghệ, đổi mới sáng tạo và chuyển đổi số</w:t>
      </w:r>
    </w:p>
    <w:p w:rsidR="00064174" w:rsidRDefault="00966D7D">
      <w:pPr>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Dự t</w:t>
      </w:r>
      <w:r>
        <w:rPr>
          <w:rFonts w:ascii="Times New Roman" w:eastAsia="Times New Roman" w:hAnsi="Times New Roman" w:cs="Times New Roman"/>
          <w:sz w:val="28"/>
          <w:szCs w:val="28"/>
        </w:rPr>
        <w:t>hảo Luật sửa đổi, bổ sung quy định về ứng dụng công nghệ thông tin, chuyển đổi số để thúc đẩy phát triển khoa học, công nghệ, đổi mới sáng tạo trong hoạt động đăng ký, quản lý hộ tịch theo hướng: (i) xây dựng Cơ sở dữ liệu hộ tịch là cơ sở dữ liệu quốc gia</w:t>
      </w:r>
      <w:r>
        <w:rPr>
          <w:rFonts w:ascii="Times New Roman" w:eastAsia="Times New Roman" w:hAnsi="Times New Roman" w:cs="Times New Roman"/>
          <w:sz w:val="28"/>
          <w:szCs w:val="28"/>
        </w:rPr>
        <w:t>; xác định rõ các thông tin, nguồn thông tin trong Cơ sở dữ liệu hộ tịch; quy định rõ về việc thu thập, cập nhật, điều chỉnh thông tin hộ tịch cá nhân trong Cơ sở dữ liệu hộ tịch; kết nối, chia sẻ, khai thác, sử dụng Cơ sở dữ liệu hộ tịch (Chương IV dự thả</w:t>
      </w:r>
      <w:r>
        <w:rPr>
          <w:rFonts w:ascii="Times New Roman" w:eastAsia="Times New Roman" w:hAnsi="Times New Roman" w:cs="Times New Roman"/>
          <w:sz w:val="28"/>
          <w:szCs w:val="28"/>
        </w:rPr>
        <w:t xml:space="preserve">o Luật); (ii) việc tiếp nhận, giải quyết hồ sơ đăng ký hộ tịch trên môi trường điện tử; khai thác, sử dụng dữ liệu điện tử để thực hiện đăng ký hộ tịch; cấp bản điện tử giấy tờ hộ tịch, sử dụng Sổ hộ tịch điện tử; quy </w:t>
      </w:r>
      <w:r>
        <w:rPr>
          <w:rFonts w:ascii="Times New Roman" w:eastAsia="Times New Roman" w:hAnsi="Times New Roman" w:cs="Times New Roman"/>
          <w:sz w:val="28"/>
          <w:szCs w:val="28"/>
        </w:rPr>
        <w:lastRenderedPageBreak/>
        <w:t>định giá trị sử dụng của giấy tờ hộ tị</w:t>
      </w:r>
      <w:r>
        <w:rPr>
          <w:rFonts w:ascii="Times New Roman" w:eastAsia="Times New Roman" w:hAnsi="Times New Roman" w:cs="Times New Roman"/>
          <w:sz w:val="28"/>
          <w:szCs w:val="28"/>
        </w:rPr>
        <w:t>ch, thông tin hộ tịch, dữ liệu hộ tịch điện tử (Điều 10 và Chương II dự thảo Luật); (iii) việc ủy quyền ký giấy tờ hộ tịch, sử dụng chữ ký số (Điều 47 dự thảo Luật).</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3.7. Vấn đề cần xin ý kiến</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Dự thảo Luật sửa đổi quy định liên quan đến Sổ hộ tịch theo hướ</w:t>
      </w:r>
      <w:r>
        <w:rPr>
          <w:rFonts w:ascii="Times New Roman" w:eastAsia="Times New Roman" w:hAnsi="Times New Roman" w:cs="Times New Roman"/>
          <w:sz w:val="28"/>
          <w:szCs w:val="28"/>
        </w:rPr>
        <w:t xml:space="preserve">ng Sổ hộ tịch bao gồm sổ điện tử và sổ giấy được thiết lập, lưu giữ tại cơ quan đăng ký hộ tịch, để thực hiện Chính sách 3: </w:t>
      </w:r>
      <w:r>
        <w:rPr>
          <w:rFonts w:ascii="Times New Roman" w:eastAsia="Times New Roman" w:hAnsi="Times New Roman" w:cs="Times New Roman"/>
          <w:b/>
          <w:bCs/>
          <w:sz w:val="28"/>
          <w:szCs w:val="28"/>
        </w:rPr>
        <w:t>Tiếp tục cải cách TTHC trong lĩnh vực hộ tịch gắn với chuyển đổi số, hiện đại hóa phương thức thực hiện nhằm nâng cao chất lượng côn</w:t>
      </w:r>
      <w:r>
        <w:rPr>
          <w:rFonts w:ascii="Times New Roman" w:eastAsia="Times New Roman" w:hAnsi="Times New Roman" w:cs="Times New Roman"/>
          <w:b/>
          <w:bCs/>
          <w:sz w:val="28"/>
          <w:szCs w:val="28"/>
        </w:rPr>
        <w:t>g tác đăng ký, quản lý hộ tịch, tạo thuận lợi tối đa cho người dân</w:t>
      </w:r>
      <w:r>
        <w:rPr>
          <w:rFonts w:ascii="Times New Roman" w:eastAsia="Times New Roman" w:hAnsi="Times New Roman" w:cs="Times New Roman"/>
          <w:sz w:val="28"/>
          <w:szCs w:val="28"/>
        </w:rPr>
        <w:t xml:space="preserve">, với giải pháp được lựa chọn </w:t>
      </w:r>
      <w:r>
        <w:rPr>
          <w:rFonts w:ascii="Times New Roman" w:eastAsia="Times New Roman" w:hAnsi="Times New Roman" w:cs="Times New Roman"/>
          <w:i/>
          <w:iCs/>
          <w:sz w:val="28"/>
          <w:szCs w:val="28"/>
        </w:rPr>
        <w:t>“Cắt giảm TTHC trong lĩnh vực hộ tịch, bảo đảm tinh gọn, thống nhất, thực hiện đăng ký hộ tịch không phụ thuộc địa giới hành chính, tăng tỉ lệ đăng ký trực tuyến, trực tuyến toàn trình; khai thác, sử dụng dữ liệu điện tử thay thế các loại giấy tờ; tăng cườ</w:t>
      </w:r>
      <w:r>
        <w:rPr>
          <w:rFonts w:ascii="Times New Roman" w:eastAsia="Times New Roman" w:hAnsi="Times New Roman" w:cs="Times New Roman"/>
          <w:i/>
          <w:iCs/>
          <w:sz w:val="28"/>
          <w:szCs w:val="28"/>
        </w:rPr>
        <w:t xml:space="preserve">ng cấp bản điện tử giấy tờ hộ tịch, sử dụng sổ hộ tịch điện tử, chỉ cấp bản giấy, lập sổ hộ tịch giấy đối với các sự kiện hộ tịch thiết yếu, quan trọng (gồm đăng ký khai sinh, kết hôn, khai tử), bảo đảm tối đa quyền lựa chọn của người dân, phù hợp với nhu </w:t>
      </w:r>
      <w:r>
        <w:rPr>
          <w:rFonts w:ascii="Times New Roman" w:eastAsia="Times New Roman" w:hAnsi="Times New Roman" w:cs="Times New Roman"/>
          <w:i/>
          <w:iCs/>
          <w:sz w:val="28"/>
          <w:szCs w:val="28"/>
        </w:rPr>
        <w:t>cầu chuyển đổi số”</w:t>
      </w:r>
      <w:r>
        <w:rPr>
          <w:rFonts w:ascii="Times New Roman" w:eastAsia="Times New Roman" w:hAnsi="Times New Roman" w:cs="Times New Roman"/>
          <w:sz w:val="28"/>
          <w:szCs w:val="28"/>
        </w:rPr>
        <w:t xml:space="preserve"> và đã được Chính phủ thông qua tại Nghị quyết số 05/NQ-CP. </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Việc quy định thiết lập Sổ hộ tịch giấy đối với 03 loại việc khai sinh, khai tử, kết hôn vì đây là các sự kiện hộ tịch gốc, quan trọng nhất của mỗi cá nhân, đặc biệt là việc kha</w:t>
      </w:r>
      <w:r>
        <w:rPr>
          <w:rFonts w:ascii="Times New Roman" w:eastAsia="Times New Roman" w:hAnsi="Times New Roman" w:cs="Times New Roman"/>
          <w:sz w:val="28"/>
          <w:szCs w:val="28"/>
        </w:rPr>
        <w:t>i sinh - thiết lập những thông tin hộ tịch đầu tiên của mỗi cá nhân (họ, tên, ngày tháng năm sinh, dân tộc, quốc tịch, quê quán…). Tiếp theo, các dữ liệu, thông tin hộ tịch của cá nhân sẽ thường xuyên biến động do phát sinh các sự kiện hộ tịch mới, đặc biệ</w:t>
      </w:r>
      <w:r>
        <w:rPr>
          <w:rFonts w:ascii="Times New Roman" w:eastAsia="Times New Roman" w:hAnsi="Times New Roman" w:cs="Times New Roman"/>
          <w:sz w:val="28"/>
          <w:szCs w:val="28"/>
        </w:rPr>
        <w:t>t là dữ liệu điện tử nên cần duy trì hình thức sổ giấy là loại hình lưu trữ dữ liệu khó thay đổi, tác động hơn để bảo đảm an toàn hơn cho dữ liệu hộ tịch gốc của cá nhân.</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Trong bối cảnh hệ thống cơ sở dữ liệu của Việt Nam mới được xây dựng, đang trong quá </w:t>
      </w:r>
      <w:r>
        <w:rPr>
          <w:rFonts w:ascii="Times New Roman" w:eastAsia="Times New Roman" w:hAnsi="Times New Roman" w:cs="Times New Roman"/>
          <w:sz w:val="28"/>
          <w:szCs w:val="28"/>
        </w:rPr>
        <w:t>trình hoàn thiện, chưa thực sự ổn định (CSDLQGVDC đưa vào vận hành từ 2021 nhưng vẫn đang tiếp tục cần được rà soát, làm sạch, hoàn thiện; Trung tâm dữ liệu quốc gia mới bắt đầu việc xây dựng, CSDLHT mới hoàn thành tháng 12/2025, cơ chế kết nối, chia sẻ, v</w:t>
      </w:r>
      <w:r>
        <w:rPr>
          <w:rFonts w:ascii="Times New Roman" w:eastAsia="Times New Roman" w:hAnsi="Times New Roman" w:cs="Times New Roman"/>
          <w:sz w:val="28"/>
          <w:szCs w:val="28"/>
        </w:rPr>
        <w:t xml:space="preserve">ận hành còn nhiều khả năng thay đổi), việc bảo đảm an ninh, an toàn thông tin, an ninh mạng tuy đã được bảo đảm nhưng vẫn tiềm ẩn nguy cơ bị tác động (do hành vi trái pháp luật) hoặc ảnh hưởng (do nguyên nhân khách quan khác như thiên tai, cháy, nổ).  </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Thự</w:t>
      </w:r>
      <w:r>
        <w:rPr>
          <w:rFonts w:ascii="Times New Roman" w:eastAsia="Times New Roman" w:hAnsi="Times New Roman" w:cs="Times New Roman"/>
          <w:sz w:val="28"/>
          <w:szCs w:val="28"/>
        </w:rPr>
        <w:t>c tế trong nước và trên thế giới năm 2025 cho thấy, không chỉ dữ liệu hộ tịch mà bất kỳ hệ thống lưu trữ dữ liệu quan trọng nào trên mạng cũng có thể chịu các tác động, ảnh hưởng này</w:t>
      </w:r>
      <w:r>
        <w:rPr>
          <w:rFonts w:ascii="Times New Roman" w:eastAsia="Times New Roman" w:hAnsi="Times New Roman" w:cs="Times New Roman"/>
          <w:sz w:val="28"/>
          <w:szCs w:val="28"/>
          <w:vertAlign w:val="superscript"/>
        </w:rPr>
        <w:footnoteReference w:id="12"/>
      </w:r>
      <w:r>
        <w:rPr>
          <w:rFonts w:ascii="Times New Roman" w:eastAsia="Times New Roman" w:hAnsi="Times New Roman" w:cs="Times New Roman"/>
          <w:sz w:val="28"/>
          <w:szCs w:val="28"/>
        </w:rPr>
        <w:t xml:space="preserve">. Như vậy, trong môi trường số, rủi ro an ninh mạng là hiện hữu và không </w:t>
      </w:r>
      <w:r>
        <w:rPr>
          <w:rFonts w:ascii="Times New Roman" w:eastAsia="Times New Roman" w:hAnsi="Times New Roman" w:cs="Times New Roman"/>
          <w:sz w:val="28"/>
          <w:szCs w:val="28"/>
        </w:rPr>
        <w:t xml:space="preserve">thể loại trừ tuyệt đối, ngay cả đối với các quốc gia có trình </w:t>
      </w:r>
      <w:r>
        <w:rPr>
          <w:rFonts w:ascii="Times New Roman" w:eastAsia="Times New Roman" w:hAnsi="Times New Roman" w:cs="Times New Roman"/>
          <w:sz w:val="28"/>
          <w:szCs w:val="28"/>
        </w:rPr>
        <w:lastRenderedPageBreak/>
        <w:t>độ công nghệ và nguồn lực bảo mật hàng đầu thế giới. Nếu không duy trì song song hệ thống đăng ký điện tử với Sổ hộ tịch giấy sẽ dẫn đến khả năng gián đoạn, không bảo đảm được việc đăng ký hộ tị</w:t>
      </w:r>
      <w:r>
        <w:rPr>
          <w:rFonts w:ascii="Times New Roman" w:eastAsia="Times New Roman" w:hAnsi="Times New Roman" w:cs="Times New Roman"/>
          <w:sz w:val="28"/>
          <w:szCs w:val="28"/>
        </w:rPr>
        <w:t>ch liên tục, nhất là các việc hộ tịch thiết yếu cho người dân</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Ở Việt Nam giai đoạn hiện nay, hạ tầng công nghệ, năng lực thực thi và mức độ sẵn sàng giữa các vùng, miền của nước ta còn chưa đồng đều, các rủi ro về an toàn, an ninh dữ liệu chưa thể được loạ</w:t>
      </w:r>
      <w:r>
        <w:rPr>
          <w:rFonts w:ascii="Times New Roman" w:eastAsia="Times New Roman" w:hAnsi="Times New Roman" w:cs="Times New Roman"/>
          <w:sz w:val="28"/>
          <w:szCs w:val="28"/>
        </w:rPr>
        <w:t>i trừ hoàn toàn và yêu cầu bảo đảm chứng cứ pháp lý gốc trong hoạt động quản lý nhà nước và tư pháp vẫn đặt ra một cách chặt chẽ, việc duy trì song song sổ hộ tịch giấy và dữ liệu hộ tịch điện tử là một giải pháp hợp lý, cân bằng và phù hợp với thông lệ qu</w:t>
      </w:r>
      <w:r>
        <w:rPr>
          <w:rFonts w:ascii="Times New Roman" w:eastAsia="Times New Roman" w:hAnsi="Times New Roman" w:cs="Times New Roman"/>
          <w:sz w:val="28"/>
          <w:szCs w:val="28"/>
        </w:rPr>
        <w:t>ốc tế. Cách tiếp cận này không làm chậm quá trình chuyển đổi số, mà ngược lại, tạo “lớp đệm an toàn” cần thiết để hệ thống vận hành ổn định, bền vững và có khả năng tự điều chỉnh khi phát sinh rủi ro.</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Theo quy định của dự thảo Luật, việc kết hôn vẫn yêu cầ</w:t>
      </w:r>
      <w:r>
        <w:rPr>
          <w:rFonts w:ascii="Times New Roman" w:eastAsia="Times New Roman" w:hAnsi="Times New Roman" w:cs="Times New Roman"/>
          <w:sz w:val="28"/>
          <w:szCs w:val="28"/>
          <w:highlight w:val="white"/>
        </w:rPr>
        <w:t>u các bên phải có mặt khi đăng ký để ký vào Sổ đăng ký kết hôn, Giấy chứng nhận kết hôn</w:t>
      </w:r>
      <w:r>
        <w:rPr>
          <w:rFonts w:ascii="Times New Roman" w:eastAsia="Times New Roman" w:hAnsi="Times New Roman" w:cs="Times New Roman"/>
          <w:sz w:val="28"/>
          <w:szCs w:val="28"/>
          <w:highlight w:val="white"/>
          <w:vertAlign w:val="superscript"/>
        </w:rPr>
        <w:footnoteReference w:id="13"/>
      </w:r>
      <w:r>
        <w:rPr>
          <w:rFonts w:ascii="Times New Roman" w:eastAsia="Times New Roman" w:hAnsi="Times New Roman" w:cs="Times New Roman"/>
          <w:sz w:val="28"/>
          <w:szCs w:val="28"/>
          <w:highlight w:val="white"/>
        </w:rPr>
        <w:t xml:space="preserve"> nên việc thiết lập Sổ đăng ký kết hôn (giấy) là cần thiết. Ngoài thủ tục đăng ký kết hôn, việc đăng ký giám hộ, giám sát việc giám hộ, nhận cha, mẹ, con cũng vẫn yêu c</w:t>
      </w:r>
      <w:r>
        <w:rPr>
          <w:rFonts w:ascii="Times New Roman" w:eastAsia="Times New Roman" w:hAnsi="Times New Roman" w:cs="Times New Roman"/>
          <w:sz w:val="28"/>
          <w:szCs w:val="28"/>
          <w:highlight w:val="white"/>
        </w:rPr>
        <w:t xml:space="preserve">ầu các bên có liên quan có mặt tại cơ quan đăng ký hộ tịch để khẳng định sự tự nguyện, việc còn sống, đủ năng lực hành vi và điều kiện thực hiện trách nhiệm giám hộ, giám sát việc giám hộ, do vậy, đề xuất nên có sổ giấy để đương sự ký, xác nhận, thiết lập </w:t>
      </w:r>
      <w:r>
        <w:rPr>
          <w:rFonts w:ascii="Times New Roman" w:eastAsia="Times New Roman" w:hAnsi="Times New Roman" w:cs="Times New Roman"/>
          <w:sz w:val="28"/>
          <w:szCs w:val="28"/>
          <w:highlight w:val="white"/>
        </w:rPr>
        <w:t xml:space="preserve">chứng cứ khẳng định các nội dung, điều kiện trên. </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Bộ Tư pháp xin ý kiến về phạm vi và cách thức xác lập các sổ hộ tịch giấy ngoài Sổ đăng ký kết hôn.</w:t>
      </w:r>
    </w:p>
    <w:p w:rsidR="00064174" w:rsidRDefault="00966D7D">
      <w:pPr>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V. NHỮNG NỘI DUNG BỔ SUNG MỚI SO VỚI DỰ THẢO VĂN BẢN GỬI THẨM ĐỊNH (NẾU CÓ):</w:t>
      </w:r>
      <w:r>
        <w:rPr>
          <w:rFonts w:ascii="Times New Roman" w:eastAsia="Times New Roman" w:hAnsi="Times New Roman" w:cs="Times New Roman"/>
          <w:sz w:val="28"/>
          <w:szCs w:val="28"/>
        </w:rPr>
        <w:t xml:space="preserve"> Không có.</w:t>
      </w:r>
    </w:p>
    <w:p w:rsidR="00064174" w:rsidRDefault="00966D7D">
      <w:pPr>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VI. DỰ KIẾN NGUỒN </w:t>
      </w:r>
      <w:r>
        <w:rPr>
          <w:rFonts w:ascii="Times New Roman" w:eastAsia="Times New Roman" w:hAnsi="Times New Roman" w:cs="Times New Roman"/>
          <w:b/>
          <w:bCs/>
          <w:sz w:val="28"/>
          <w:szCs w:val="28"/>
        </w:rPr>
        <w:t>LỰC, ĐIỀU KIỆN BẢO ĐẢM CHO VIỆC THI HÀNH LUẬT VÀ THỜI GIAN TRÌNH QUỐC HỘI THÔNG QUA</w:t>
      </w:r>
    </w:p>
    <w:p w:rsidR="00064174" w:rsidRDefault="00966D7D">
      <w:pPr>
        <w:widowControl w:val="0"/>
        <w:tabs>
          <w:tab w:val="left" w:pos="2780"/>
          <w:tab w:val="center" w:pos="4631"/>
        </w:tabs>
        <w:spacing w:before="120" w:after="120" w:line="264" w:lineRule="auto"/>
        <w:ind w:firstLine="567"/>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1. Dự kiến nguồn lực, điều kiện bảo đảm cho việc thi hành Luật</w:t>
      </w:r>
    </w:p>
    <w:p w:rsidR="00064174" w:rsidRDefault="00966D7D">
      <w:pPr>
        <w:widowControl w:val="0"/>
        <w:spacing w:before="120" w:after="120" w:line="264" w:lineRule="auto"/>
        <w:ind w:firstLine="63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1.1. Hoạt động đăng ký, quản lý hộ tịch có liên quan đến nhiều Bộ, cơ quan ngang bộ; phát sinh ở tất cả các đ</w:t>
      </w:r>
      <w:r>
        <w:rPr>
          <w:rFonts w:ascii="Times New Roman" w:eastAsia="Times New Roman" w:hAnsi="Times New Roman" w:cs="Times New Roman"/>
          <w:sz w:val="28"/>
          <w:szCs w:val="28"/>
        </w:rPr>
        <w:t>ịa phương trên cả nước. Do vậy, để bảo đảm đủ thời gian cho công tác triển khai thi hành Luật, chất lượng ban hành văn bản hướng dẫn, bảo đảm hệ thống văn bản quy phạm pháp luật về hộ tịch khả thi, áp dụng thống nhất từ Trung ương đến địa phương, Bộ Tư phá</w:t>
      </w:r>
      <w:r>
        <w:rPr>
          <w:rFonts w:ascii="Times New Roman" w:eastAsia="Times New Roman" w:hAnsi="Times New Roman" w:cs="Times New Roman"/>
          <w:sz w:val="28"/>
          <w:szCs w:val="28"/>
        </w:rPr>
        <w:t xml:space="preserve">p đề xuất thời gian có hiệu lực của Luật Hộ tịch (sửa đổi) từ </w:t>
      </w:r>
      <w:r>
        <w:rPr>
          <w:rFonts w:ascii="Times New Roman" w:eastAsia="Times New Roman" w:hAnsi="Times New Roman" w:cs="Times New Roman"/>
          <w:b/>
          <w:bCs/>
          <w:sz w:val="28"/>
          <w:szCs w:val="28"/>
        </w:rPr>
        <w:t>ngày 01/3/2027</w:t>
      </w:r>
      <w:r>
        <w:rPr>
          <w:rFonts w:ascii="Times New Roman" w:eastAsia="Times New Roman" w:hAnsi="Times New Roman" w:cs="Times New Roman"/>
          <w:sz w:val="28"/>
          <w:szCs w:val="28"/>
        </w:rPr>
        <w:t xml:space="preserve"> (Điều 52 dự thảo Luật). </w:t>
      </w:r>
    </w:p>
    <w:p w:rsidR="00064174" w:rsidRDefault="00966D7D">
      <w:pPr>
        <w:widowControl w:val="0"/>
        <w:spacing w:before="120" w:after="120" w:line="264" w:lineRule="auto"/>
        <w:ind w:firstLine="63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Lộ trình này mới bảo đảm đủ thời gian để Bộ Tư pháp, các bộ, ngành liên quan và các địa phương có thời gian: xây dựng, trình Chính phủ và chủ động ban </w:t>
      </w:r>
      <w:r>
        <w:rPr>
          <w:rFonts w:ascii="Times New Roman" w:eastAsia="Times New Roman" w:hAnsi="Times New Roman" w:cs="Times New Roman"/>
          <w:sz w:val="28"/>
          <w:szCs w:val="28"/>
        </w:rPr>
        <w:lastRenderedPageBreak/>
        <w:t>hàn</w:t>
      </w:r>
      <w:r>
        <w:rPr>
          <w:rFonts w:ascii="Times New Roman" w:eastAsia="Times New Roman" w:hAnsi="Times New Roman" w:cs="Times New Roman"/>
          <w:sz w:val="28"/>
          <w:szCs w:val="28"/>
        </w:rPr>
        <w:t>h các văn bản quy định chi tiết, hướng dẫn thi hành Luật; ban hành và thực hiện kế hoạch nâng cấp Cơ sở dữ liệu hộ tịch; tổ chức tập huấn nghiệp vụ cho đội ngũ công chức hộ tịch; mua sắm bổ sung cơ sở vật chất, trang thiết bị; nâng cấp cơ sở hạ tầng (bảo đ</w:t>
      </w:r>
      <w:r>
        <w:rPr>
          <w:rFonts w:ascii="Times New Roman" w:eastAsia="Times New Roman" w:hAnsi="Times New Roman" w:cs="Times New Roman"/>
          <w:sz w:val="28"/>
          <w:szCs w:val="28"/>
        </w:rPr>
        <w:t>ảm 100% công chức đủ năng lực sử dụng và có kết nối ổn định, không làm gián đoạn dịch vụ). Đồng thời, thời gian có hiệu lực này cũng bảo đảm phù hợp với quy định của Luật Tổ chức Chính phủ, Luật Tổ chức chính quyền địa phương, Nghị quyết số 190/2025/QH15 n</w:t>
      </w:r>
      <w:r>
        <w:rPr>
          <w:rFonts w:ascii="Times New Roman" w:eastAsia="Times New Roman" w:hAnsi="Times New Roman" w:cs="Times New Roman"/>
          <w:sz w:val="28"/>
          <w:szCs w:val="28"/>
        </w:rPr>
        <w:t>gày 19/02/2025 của Quốc hội</w:t>
      </w:r>
      <w:r>
        <w:rPr>
          <w:rFonts w:ascii="Times New Roman" w:eastAsia="Times New Roman" w:hAnsi="Times New Roman" w:cs="Times New Roman"/>
          <w:sz w:val="28"/>
          <w:szCs w:val="28"/>
          <w:vertAlign w:val="superscript"/>
        </w:rPr>
        <w:footnoteReference w:id="14"/>
      </w:r>
      <w:r>
        <w:rPr>
          <w:rFonts w:ascii="Times New Roman" w:eastAsia="Times New Roman" w:hAnsi="Times New Roman" w:cs="Times New Roman"/>
          <w:sz w:val="28"/>
          <w:szCs w:val="28"/>
        </w:rPr>
        <w:t>.</w:t>
      </w:r>
    </w:p>
    <w:p w:rsidR="00064174" w:rsidRDefault="00966D7D">
      <w:pPr>
        <w:widowControl w:val="0"/>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1.2. Để bảo đảm triển khai thi hành Luật Hộ tịch cần phải bố trí kinh phí theo quy định pháp luật để thực hiện các công việc sau:</w:t>
      </w:r>
    </w:p>
    <w:p w:rsidR="00064174" w:rsidRDefault="00966D7D">
      <w:pPr>
        <w:widowControl w:val="0"/>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Tuyên truyền, phổ biến Luật sau khi được Quốc hội thông qua (biên soạn tài liệu, tổ chức hội nghị tập huấn trong cơ quan đăng ký, quản lý hộ tịch và các cơ quan liên quan).</w:t>
      </w:r>
    </w:p>
    <w:p w:rsidR="00064174" w:rsidRDefault="00966D7D">
      <w:pPr>
        <w:widowControl w:val="0"/>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Sửa đổi, bổ sung, ban hành mới thay thế các văn bản quy định chi tiết thi hành </w:t>
      </w:r>
      <w:r>
        <w:rPr>
          <w:rFonts w:ascii="Times New Roman" w:eastAsia="Times New Roman" w:hAnsi="Times New Roman" w:cs="Times New Roman"/>
          <w:sz w:val="28"/>
          <w:szCs w:val="28"/>
        </w:rPr>
        <w:t>Luật.</w:t>
      </w:r>
    </w:p>
    <w:p w:rsidR="00064174" w:rsidRDefault="00966D7D">
      <w:pPr>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Bộ Tư pháp, các địa phương tổ chức đào tạo, bồi dưỡng nghiệp vụ hộ tịch cho đội ngũ công chức hộ tịch (dự kiến khoảng 9,9 tỷ đồng/năm). </w:t>
      </w:r>
    </w:p>
    <w:p w:rsidR="00064174" w:rsidRDefault="00966D7D">
      <w:pPr>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Kinh phí nâng cấp Cơ sở dữ liệu hộ tịch, bố trí cơ sở vật chất bảo đảm phù hợp với quy định mới của Luật (dự kiến khoảng 117 tỷ đồng).</w:t>
      </w:r>
    </w:p>
    <w:p w:rsidR="00064174" w:rsidRDefault="00966D7D">
      <w:pPr>
        <w:widowControl w:val="0"/>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Nguồn kinh phí bảo đảm chi phí nêu trên sẽ được cân đối từ ngân sách nhà nước và nguồn kinh phí hợp pháp khác; với tinh</w:t>
      </w:r>
      <w:r>
        <w:rPr>
          <w:rFonts w:ascii="Times New Roman" w:eastAsia="Times New Roman" w:hAnsi="Times New Roman" w:cs="Times New Roman"/>
          <w:sz w:val="28"/>
          <w:szCs w:val="28"/>
        </w:rPr>
        <w:t xml:space="preserve"> hình ngân sách nhà nước bố trí cho việc xây dựng pháp luật, chuyển đổi số, ứng dụng công nghệ thông tin trong giai đoạn 2023-2025 là bảo đảm khả thi và phù hợp quy định pháp luật.</w:t>
      </w:r>
    </w:p>
    <w:p w:rsidR="00064174" w:rsidRDefault="00966D7D">
      <w:pPr>
        <w:widowControl w:val="0"/>
        <w:tabs>
          <w:tab w:val="left" w:pos="2780"/>
          <w:tab w:val="center" w:pos="4631"/>
        </w:tabs>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1.3. Nguồn nhân lực bảo đảm triển khai thi hành Luật sau khi được Quốc hội </w:t>
      </w:r>
      <w:r>
        <w:rPr>
          <w:rFonts w:ascii="Times New Roman" w:eastAsia="Times New Roman" w:hAnsi="Times New Roman" w:cs="Times New Roman"/>
          <w:sz w:val="28"/>
          <w:szCs w:val="28"/>
        </w:rPr>
        <w:t>thông qua là đội ngũ nhân lực hiện tại đang làm công tác đăng ký, quản lý hộ tịch tại cơ quan Trung ương và địa phương.</w:t>
      </w:r>
    </w:p>
    <w:p w:rsidR="00064174" w:rsidRDefault="00966D7D">
      <w:pPr>
        <w:spacing w:before="120" w:after="120" w:line="264" w:lineRule="auto"/>
        <w:ind w:firstLine="567"/>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 Thời gian trình Quốc hội thông qua</w:t>
      </w:r>
    </w:p>
    <w:p w:rsidR="00064174" w:rsidRDefault="00966D7D">
      <w:pPr>
        <w:spacing w:before="120" w:after="120" w:line="264"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Theo Nghị quyết số 105/2025/UBTVQH15 ngày 26/9/2025 của Ủy ban Thường vụ Quốc hội về Chương trình </w:t>
      </w:r>
      <w:r>
        <w:rPr>
          <w:rFonts w:ascii="Times New Roman" w:eastAsia="Times New Roman" w:hAnsi="Times New Roman" w:cs="Times New Roman"/>
          <w:sz w:val="28"/>
          <w:szCs w:val="28"/>
        </w:rPr>
        <w:t>lập pháp năm 2026, dự án Luật Hộ tịch (sửa đổi) trình Quốc hội xem xét, thông qua tại Kỳ họp thứ nhất Quốc hội khóa XVI (tháng 4/2026).</w:t>
      </w:r>
    </w:p>
    <w:p w:rsidR="00064174" w:rsidRDefault="00966D7D">
      <w:pPr>
        <w:pBdr>
          <w:top w:val="nil"/>
          <w:left w:val="nil"/>
          <w:bottom w:val="nil"/>
          <w:right w:val="nil"/>
          <w:between w:val="nil"/>
        </w:pBdr>
        <w:spacing w:before="120" w:after="120" w:line="264"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Trên đây là Tờ trình dự án Luật Hộ tịch (sửa đổi), Bộ Tư pháp xin kính trình Chính phủ xem xét, quyết định.</w:t>
      </w:r>
    </w:p>
    <w:p w:rsidR="00064174" w:rsidRDefault="00966D7D">
      <w:pPr>
        <w:spacing w:before="120" w:after="120" w:line="264" w:lineRule="auto"/>
        <w:ind w:firstLine="567"/>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(Xin gửi kèm</w:t>
      </w:r>
      <w:r>
        <w:rPr>
          <w:rFonts w:ascii="Times New Roman" w:eastAsia="Times New Roman" w:hAnsi="Times New Roman" w:cs="Times New Roman"/>
          <w:i/>
          <w:iCs/>
          <w:sz w:val="28"/>
          <w:szCs w:val="28"/>
        </w:rPr>
        <w:t xml:space="preserve"> theo: (1) Dự thảo Luật; (2) Bản so sánh dự thảo Luật với Luật Hộ tịch năm 2014; (3) Bản rà soát các chủ trương, đường lối của đảng, văn bản </w:t>
      </w:r>
      <w:r>
        <w:rPr>
          <w:rFonts w:ascii="Times New Roman" w:eastAsia="Times New Roman" w:hAnsi="Times New Roman" w:cs="Times New Roman"/>
          <w:i/>
          <w:iCs/>
          <w:sz w:val="28"/>
          <w:szCs w:val="28"/>
        </w:rPr>
        <w:lastRenderedPageBreak/>
        <w:t>quy phạm pháp luật, điều ước quốc tế có liên quan đến dự thảo Luật; (4) Bản tổng hợp ý kiến, tiếp thu, giải trình ý</w:t>
      </w:r>
      <w:r>
        <w:rPr>
          <w:rFonts w:ascii="Times New Roman" w:eastAsia="Times New Roman" w:hAnsi="Times New Roman" w:cs="Times New Roman"/>
          <w:i/>
          <w:iCs/>
          <w:sz w:val="28"/>
          <w:szCs w:val="28"/>
        </w:rPr>
        <w:t xml:space="preserve"> kiến góp ý của cơ quan, tổ chức, cá nhân; (5) Báo cáo thẩm định dự án Luật; (6) Báo cáo tiếp thu, giải trình ý kiến thẩm định dự án Luật; (7) Báo cáo tổng kết thi hành Luật Hộ tịch)./.</w:t>
      </w:r>
    </w:p>
    <w:tbl>
      <w:tblPr>
        <w:tblStyle w:val="a0"/>
        <w:tblW w:w="9498" w:type="dxa"/>
        <w:tblInd w:w="-115" w:type="dxa"/>
        <w:tblLayout w:type="fixed"/>
        <w:tblLook w:val="0000" w:firstRow="0" w:lastRow="0" w:firstColumn="0" w:lastColumn="0" w:noHBand="0" w:noVBand="0"/>
      </w:tblPr>
      <w:tblGrid>
        <w:gridCol w:w="4962"/>
        <w:gridCol w:w="4536"/>
      </w:tblGrid>
      <w:tr w:rsidR="00064174">
        <w:trPr>
          <w:trHeight w:val="2836"/>
        </w:trPr>
        <w:tc>
          <w:tcPr>
            <w:tcW w:w="4962" w:type="dxa"/>
          </w:tcPr>
          <w:p w:rsidR="00064174" w:rsidRDefault="00966D7D">
            <w:pPr>
              <w:spacing w:before="0" w:after="0" w:line="264" w:lineRule="auto"/>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Nơi nhận:</w:t>
            </w:r>
          </w:p>
          <w:p w:rsidR="00064174" w:rsidRDefault="00966D7D">
            <w:pPr>
              <w:spacing w:before="0" w:after="0" w:line="264" w:lineRule="auto"/>
              <w:rPr>
                <w:rFonts w:ascii="Times New Roman" w:eastAsia="Times New Roman" w:hAnsi="Times New Roman" w:cs="Times New Roman"/>
              </w:rPr>
            </w:pPr>
            <w:r>
              <w:rPr>
                <w:rFonts w:ascii="Times New Roman" w:eastAsia="Times New Roman" w:hAnsi="Times New Roman" w:cs="Times New Roman"/>
              </w:rPr>
              <w:t>- Như trên;</w:t>
            </w:r>
          </w:p>
          <w:p w:rsidR="00064174" w:rsidRDefault="00966D7D">
            <w:pPr>
              <w:spacing w:before="0" w:after="0" w:line="264" w:lineRule="auto"/>
              <w:rPr>
                <w:rFonts w:ascii="Times New Roman" w:eastAsia="Times New Roman" w:hAnsi="Times New Roman" w:cs="Times New Roman"/>
              </w:rPr>
            </w:pPr>
            <w:r>
              <w:rPr>
                <w:rFonts w:ascii="Times New Roman" w:eastAsia="Times New Roman" w:hAnsi="Times New Roman" w:cs="Times New Roman"/>
              </w:rPr>
              <w:t>- Thủ tướng Chính phủ (để b/c);</w:t>
            </w:r>
          </w:p>
          <w:p w:rsidR="00064174" w:rsidRDefault="00966D7D">
            <w:pPr>
              <w:spacing w:before="0" w:after="0" w:line="264" w:lineRule="auto"/>
              <w:rPr>
                <w:rFonts w:ascii="Times New Roman" w:eastAsia="Times New Roman" w:hAnsi="Times New Roman" w:cs="Times New Roman"/>
              </w:rPr>
            </w:pPr>
            <w:r>
              <w:rPr>
                <w:rFonts w:ascii="Times New Roman" w:eastAsia="Times New Roman" w:hAnsi="Times New Roman" w:cs="Times New Roman"/>
              </w:rPr>
              <w:t>- Các Phó Thủ tướng Chính phủ (để b/c);</w:t>
            </w:r>
          </w:p>
          <w:p w:rsidR="00064174" w:rsidRDefault="00966D7D">
            <w:pPr>
              <w:spacing w:before="0" w:after="0" w:line="264" w:lineRule="auto"/>
              <w:rPr>
                <w:rFonts w:ascii="Times New Roman" w:eastAsia="Times New Roman" w:hAnsi="Times New Roman" w:cs="Times New Roman"/>
              </w:rPr>
            </w:pPr>
            <w:r>
              <w:rPr>
                <w:rFonts w:ascii="Times New Roman" w:eastAsia="Times New Roman" w:hAnsi="Times New Roman" w:cs="Times New Roman"/>
              </w:rPr>
              <w:t>- Các Thứ trưởng (để biết);</w:t>
            </w:r>
          </w:p>
          <w:p w:rsidR="00064174" w:rsidRDefault="00966D7D">
            <w:pPr>
              <w:spacing w:before="0" w:after="0" w:line="264" w:lineRule="auto"/>
              <w:rPr>
                <w:rFonts w:ascii="Times New Roman" w:eastAsia="Times New Roman" w:hAnsi="Times New Roman" w:cs="Times New Roman"/>
              </w:rPr>
            </w:pPr>
            <w:r>
              <w:rPr>
                <w:rFonts w:ascii="Times New Roman" w:eastAsia="Times New Roman" w:hAnsi="Times New Roman" w:cs="Times New Roman"/>
              </w:rPr>
              <w:t>- Ủy ban Tư pháp và pháp luật của Quốc hội (để p/h);</w:t>
            </w:r>
          </w:p>
          <w:p w:rsidR="00064174" w:rsidRDefault="00966D7D">
            <w:pPr>
              <w:spacing w:before="0" w:after="0" w:line="264" w:lineRule="auto"/>
              <w:rPr>
                <w:rFonts w:ascii="Times New Roman" w:eastAsia="Times New Roman" w:hAnsi="Times New Roman" w:cs="Times New Roman"/>
              </w:rPr>
            </w:pPr>
            <w:r>
              <w:rPr>
                <w:rFonts w:ascii="Times New Roman" w:eastAsia="Times New Roman" w:hAnsi="Times New Roman" w:cs="Times New Roman"/>
              </w:rPr>
              <w:t>- Văn phòng Quốc hội (để p/h);</w:t>
            </w:r>
          </w:p>
          <w:p w:rsidR="00064174" w:rsidRDefault="00966D7D">
            <w:pPr>
              <w:spacing w:before="0" w:after="0" w:line="264" w:lineRule="auto"/>
              <w:rPr>
                <w:rFonts w:ascii="Times New Roman" w:eastAsia="Times New Roman" w:hAnsi="Times New Roman" w:cs="Times New Roman"/>
              </w:rPr>
            </w:pPr>
            <w:r>
              <w:rPr>
                <w:rFonts w:ascii="Times New Roman" w:eastAsia="Times New Roman" w:hAnsi="Times New Roman" w:cs="Times New Roman"/>
              </w:rPr>
              <w:t>- Văn phòng Chính phủ (để p/h);</w:t>
            </w:r>
          </w:p>
          <w:p w:rsidR="00064174" w:rsidRDefault="00966D7D">
            <w:pPr>
              <w:spacing w:before="0" w:after="0" w:line="264" w:lineRule="auto"/>
              <w:rPr>
                <w:rFonts w:ascii="Times New Roman" w:eastAsia="Times New Roman" w:hAnsi="Times New Roman" w:cs="Times New Roman"/>
                <w:sz w:val="28"/>
                <w:szCs w:val="28"/>
              </w:rPr>
            </w:pPr>
            <w:r>
              <w:rPr>
                <w:rFonts w:ascii="Times New Roman" w:eastAsia="Times New Roman" w:hAnsi="Times New Roman" w:cs="Times New Roman"/>
              </w:rPr>
              <w:t>- Lưu : VT, Cục HCTP (3b).</w:t>
            </w:r>
          </w:p>
        </w:tc>
        <w:tc>
          <w:tcPr>
            <w:tcW w:w="4536" w:type="dxa"/>
          </w:tcPr>
          <w:p w:rsidR="00064174" w:rsidRDefault="00966D7D">
            <w:pPr>
              <w:spacing w:before="120" w:after="120" w:line="264" w:lineRule="auto"/>
              <w:ind w:left="720"/>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BỘ TRƯỞNG</w:t>
            </w:r>
          </w:p>
          <w:p w:rsidR="00064174" w:rsidRDefault="00064174">
            <w:pPr>
              <w:spacing w:before="120" w:after="120" w:line="264" w:lineRule="auto"/>
              <w:ind w:left="720"/>
              <w:jc w:val="center"/>
              <w:rPr>
                <w:rFonts w:ascii="Times New Roman" w:eastAsia="Times New Roman" w:hAnsi="Times New Roman" w:cs="Times New Roman"/>
                <w:b/>
                <w:bCs/>
                <w:sz w:val="28"/>
                <w:szCs w:val="28"/>
              </w:rPr>
            </w:pPr>
          </w:p>
          <w:p w:rsidR="00064174" w:rsidRDefault="00064174">
            <w:pPr>
              <w:spacing w:before="120" w:after="120" w:line="264" w:lineRule="auto"/>
              <w:ind w:left="720"/>
              <w:jc w:val="center"/>
              <w:rPr>
                <w:rFonts w:ascii="Times New Roman" w:eastAsia="Times New Roman" w:hAnsi="Times New Roman" w:cs="Times New Roman"/>
                <w:b/>
                <w:bCs/>
                <w:sz w:val="28"/>
                <w:szCs w:val="28"/>
              </w:rPr>
            </w:pPr>
          </w:p>
          <w:p w:rsidR="00064174" w:rsidRDefault="00064174">
            <w:pPr>
              <w:spacing w:before="120" w:after="120" w:line="264" w:lineRule="auto"/>
              <w:ind w:left="720" w:right="780"/>
              <w:jc w:val="center"/>
              <w:rPr>
                <w:rFonts w:ascii="Times New Roman" w:eastAsia="Times New Roman" w:hAnsi="Times New Roman" w:cs="Times New Roman"/>
                <w:b/>
                <w:bCs/>
                <w:sz w:val="28"/>
                <w:szCs w:val="28"/>
              </w:rPr>
            </w:pPr>
          </w:p>
          <w:p w:rsidR="00064174" w:rsidRDefault="00966D7D">
            <w:pPr>
              <w:spacing w:before="120" w:after="120" w:line="264" w:lineRule="auto"/>
              <w:ind w:left="720"/>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Nguyễn Hải Ninh</w:t>
            </w:r>
          </w:p>
        </w:tc>
      </w:tr>
    </w:tbl>
    <w:p w:rsidR="00064174" w:rsidRDefault="00064174">
      <w:pPr>
        <w:spacing w:before="120" w:after="120" w:line="264" w:lineRule="auto"/>
      </w:pPr>
      <w:bookmarkStart w:id="2" w:name="_heading=h.9xc9je94kqzd" w:colFirst="0" w:colLast="0"/>
      <w:bookmarkEnd w:id="2"/>
    </w:p>
    <w:p w:rsidR="00064174" w:rsidRDefault="00064174"/>
    <w:sectPr w:rsidR="00064174">
      <w:headerReference w:type="default" r:id="rId9"/>
      <w:headerReference w:type="first" r:id="rId10"/>
      <w:pgSz w:w="11909" w:h="16834"/>
      <w:pgMar w:top="1134" w:right="1134" w:bottom="907" w:left="1701" w:header="567" w:footer="567"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00000" w:rsidRDefault="00966D7D">
      <w:pPr>
        <w:spacing w:before="0" w:after="0" w:line="240" w:lineRule="auto"/>
      </w:pPr>
      <w:r>
        <w:separator/>
      </w:r>
    </w:p>
  </w:endnote>
  <w:endnote w:type="continuationSeparator" w:id="0">
    <w:p w:rsidR="00000000" w:rsidRDefault="00966D7D">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embedRegular r:id="rId1" w:fontKey="{6A9A7852-9283-4089-ABCA-4C0255A160CF}"/>
    <w:embedItalic r:id="rId2" w:fontKey="{800EE5CE-9BFD-423B-A6A4-322091F677DD}"/>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3" w:fontKey="{4EAFE056-0E1F-4A3C-8AF7-EFE11FC24695}"/>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00000" w:rsidRDefault="00966D7D">
      <w:pPr>
        <w:spacing w:before="0" w:after="0" w:line="240" w:lineRule="auto"/>
      </w:pPr>
      <w:r>
        <w:separator/>
      </w:r>
    </w:p>
  </w:footnote>
  <w:footnote w:type="continuationSeparator" w:id="0">
    <w:p w:rsidR="00000000" w:rsidRDefault="00966D7D">
      <w:pPr>
        <w:spacing w:before="0" w:after="0" w:line="240" w:lineRule="auto"/>
      </w:pPr>
      <w:r>
        <w:continuationSeparator/>
      </w:r>
    </w:p>
  </w:footnote>
  <w:footnote w:id="1">
    <w:p w:rsidR="00064174" w:rsidRDefault="00966D7D">
      <w:pPr>
        <w:pBdr>
          <w:top w:val="nil"/>
          <w:left w:val="nil"/>
          <w:bottom w:val="nil"/>
          <w:right w:val="nil"/>
          <w:between w:val="nil"/>
        </w:pBdr>
        <w:spacing w:before="0" w:after="0" w:line="240" w:lineRule="auto"/>
        <w:jc w:val="both"/>
        <w:rPr>
          <w:rFonts w:ascii="Times New Roman" w:eastAsia="Times New Roman" w:hAnsi="Times New Roman" w:cs="Times New Roman"/>
          <w:sz w:val="20"/>
          <w:szCs w:val="20"/>
        </w:rPr>
      </w:pPr>
      <w:r>
        <w:rPr>
          <w:rStyle w:val="FootnoteReference"/>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sz w:val="20"/>
          <w:szCs w:val="20"/>
        </w:rPr>
        <w:t>Có 15 văn bản hướng dẫn thực hiện Luật Hộ tịch của Chính phủ, Bộ Tư pháp, Bộ Ngoại giao, Bộ Tài chính ban hành, trong đó có 05 Nghị định, 01 Thông tư liên tịch và 09 Thông tư.</w:t>
      </w:r>
    </w:p>
  </w:footnote>
  <w:footnote w:id="2">
    <w:p w:rsidR="00064174" w:rsidRDefault="00966D7D">
      <w:pPr>
        <w:pBdr>
          <w:top w:val="nil"/>
          <w:left w:val="nil"/>
          <w:bottom w:val="nil"/>
          <w:right w:val="nil"/>
          <w:between w:val="nil"/>
        </w:pBdr>
        <w:spacing w:before="0" w:after="0" w:line="240" w:lineRule="auto"/>
        <w:jc w:val="both"/>
        <w:rPr>
          <w:rFonts w:ascii="Times New Roman" w:eastAsia="Times New Roman" w:hAnsi="Times New Roman" w:cs="Times New Roman"/>
          <w:sz w:val="20"/>
          <w:szCs w:val="20"/>
        </w:rPr>
      </w:pPr>
      <w:r>
        <w:rPr>
          <w:rStyle w:val="FootnoteReference"/>
        </w:rPr>
        <w:footnoteRef/>
      </w:r>
      <w:r>
        <w:rPr>
          <w:rFonts w:ascii="Times New Roman" w:eastAsia="Times New Roman" w:hAnsi="Times New Roman" w:cs="Times New Roman"/>
          <w:sz w:val="20"/>
          <w:szCs w:val="20"/>
        </w:rPr>
        <w:t xml:space="preserve"> Đến nay, cả nước có 8.082 công chức tư pháp - hộ tịch trên tổng số 3.321 xã, phường, đặc khu, hầu hết công chức tư pháp - hộ tịch đều có trình độ chuyên môn Luật đáp ứng tiêu chuẩn và được bồi dưỡng nghiệp vụ hộ tịch theo quy định của Luật Hộ tịch.</w:t>
      </w:r>
    </w:p>
  </w:footnote>
  <w:footnote w:id="3">
    <w:p w:rsidR="00064174" w:rsidRDefault="00966D7D">
      <w:pPr>
        <w:spacing w:before="0" w:after="0" w:line="240" w:lineRule="auto"/>
        <w:jc w:val="both"/>
        <w:rPr>
          <w:rFonts w:ascii="Times New Roman" w:eastAsia="Times New Roman" w:hAnsi="Times New Roman" w:cs="Times New Roman"/>
          <w:sz w:val="20"/>
          <w:szCs w:val="20"/>
        </w:rPr>
      </w:pPr>
      <w:r>
        <w:rPr>
          <w:rStyle w:val="FootnoteReference"/>
        </w:rPr>
        <w:footnoteRef/>
      </w:r>
      <w:r>
        <w:rPr>
          <w:rFonts w:ascii="Times New Roman" w:eastAsia="Times New Roman" w:hAnsi="Times New Roman" w:cs="Times New Roman"/>
          <w:sz w:val="20"/>
          <w:szCs w:val="20"/>
        </w:rPr>
        <w:t xml:space="preserve"> Hệ</w:t>
      </w:r>
      <w:r>
        <w:rPr>
          <w:rFonts w:ascii="Times New Roman" w:eastAsia="Times New Roman" w:hAnsi="Times New Roman" w:cs="Times New Roman"/>
          <w:sz w:val="20"/>
          <w:szCs w:val="20"/>
        </w:rPr>
        <w:t xml:space="preserve"> thống thông tin đăng ký, quản lý hộ tịch điện tử được triển khai thống nhất  tại 34/34 tỉnh, thành phố, với hơn 24 nghìn người dùng, bao gồm: 10 nghìn tài khoản của công chức tư pháp - hộ tịch, 14 nghìn tài khoản của Lãnh đạo và Văn thư UBND cấp xã. Trong</w:t>
      </w:r>
      <w:r>
        <w:rPr>
          <w:rFonts w:ascii="Times New Roman" w:eastAsia="Times New Roman" w:hAnsi="Times New Roman" w:cs="Times New Roman"/>
          <w:sz w:val="20"/>
          <w:szCs w:val="20"/>
        </w:rPr>
        <w:t xml:space="preserve"> CSDLHTĐT có hơn 145 triệu dữ liệu, bao gồm: </w:t>
      </w:r>
      <w:r>
        <w:rPr>
          <w:rFonts w:ascii="Times New Roman" w:eastAsia="Times New Roman" w:hAnsi="Times New Roman" w:cs="Times New Roman"/>
          <w:sz w:val="20"/>
          <w:szCs w:val="20"/>
          <w:highlight w:val="white"/>
        </w:rPr>
        <w:t>84.472.521 dữ liệu đăng ký khai sinh; 24.662.100 dữ liệu kết hôn; 19.264.209 dữ liệu cấp giấy xác nhận tình trạng hôn nhân; 15.340.624 dữ liệu khai tử; 437.706 dữ liệu nhận cha mẹ con; 31.866 dữ liệu giám hộ; 27</w:t>
      </w:r>
      <w:r>
        <w:rPr>
          <w:rFonts w:ascii="Times New Roman" w:eastAsia="Times New Roman" w:hAnsi="Times New Roman" w:cs="Times New Roman"/>
          <w:sz w:val="20"/>
          <w:szCs w:val="20"/>
          <w:highlight w:val="white"/>
        </w:rPr>
        <w:t>.278 dữ liệu đăng ký nhận nuôi con nuôi; 1.400.989 dữ liệu cải chính, thay đổi, bổ sung hộ tịch, xác định lại dân tộc</w:t>
      </w:r>
      <w:r>
        <w:rPr>
          <w:rFonts w:ascii="Times New Roman" w:eastAsia="Times New Roman" w:hAnsi="Times New Roman" w:cs="Times New Roman"/>
          <w:sz w:val="20"/>
          <w:szCs w:val="20"/>
        </w:rPr>
        <w:t>.</w:t>
      </w:r>
    </w:p>
  </w:footnote>
  <w:footnote w:id="4">
    <w:p w:rsidR="00064174" w:rsidRDefault="00966D7D">
      <w:pPr>
        <w:spacing w:before="0" w:after="0" w:line="240" w:lineRule="auto"/>
        <w:jc w:val="both"/>
        <w:rPr>
          <w:sz w:val="20"/>
          <w:szCs w:val="20"/>
        </w:rPr>
      </w:pPr>
      <w:r>
        <w:rPr>
          <w:rStyle w:val="FootnoteReference"/>
        </w:rPr>
        <w:footnoteRef/>
      </w:r>
      <w:r>
        <w:rPr>
          <w:rFonts w:ascii="Times New Roman" w:eastAsia="Times New Roman" w:hAnsi="Times New Roman" w:cs="Times New Roman"/>
          <w:sz w:val="20"/>
          <w:szCs w:val="20"/>
        </w:rPr>
        <w:t xml:space="preserve"> Kết quả triển khai khảo sát, đánh giá theo </w:t>
      </w:r>
      <w:r>
        <w:rPr>
          <w:rFonts w:ascii="Times New Roman" w:eastAsia="Times New Roman" w:hAnsi="Times New Roman" w:cs="Times New Roman"/>
          <w:sz w:val="20"/>
          <w:szCs w:val="20"/>
          <w:highlight w:val="white"/>
        </w:rPr>
        <w:t>Công văn số 137/CV-BCĐ ngày 28/9/2025 của Ban Chỉ đạo sắp xếp đơn vị hành chính các cấp và x</w:t>
      </w:r>
      <w:r>
        <w:rPr>
          <w:rFonts w:ascii="Times New Roman" w:eastAsia="Times New Roman" w:hAnsi="Times New Roman" w:cs="Times New Roman"/>
          <w:sz w:val="20"/>
          <w:szCs w:val="20"/>
          <w:highlight w:val="white"/>
        </w:rPr>
        <w:t>ây dựng mô hình tổ chức chính quyền địa phương 2 cấp.</w:t>
      </w:r>
    </w:p>
  </w:footnote>
  <w:footnote w:id="5">
    <w:p w:rsidR="00064174" w:rsidRDefault="00966D7D">
      <w:pPr>
        <w:pBdr>
          <w:top w:val="nil"/>
          <w:left w:val="nil"/>
          <w:bottom w:val="nil"/>
          <w:right w:val="nil"/>
          <w:between w:val="nil"/>
        </w:pBdr>
        <w:spacing w:before="0" w:after="0" w:line="240" w:lineRule="auto"/>
        <w:jc w:val="both"/>
        <w:rPr>
          <w:rFonts w:ascii="Times New Roman" w:eastAsia="Times New Roman" w:hAnsi="Times New Roman" w:cs="Times New Roman"/>
          <w:color w:val="000000"/>
          <w:sz w:val="20"/>
          <w:szCs w:val="20"/>
        </w:rPr>
      </w:pPr>
      <w:r>
        <w:rPr>
          <w:rStyle w:val="FootnoteReference"/>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sz w:val="20"/>
          <w:szCs w:val="20"/>
        </w:rPr>
        <w:t xml:space="preserve">Báo cáo tổng kết Luật Hộ tịch số 772/BC-BTP ngày 18/12/2025 tổng hợp kết quả </w:t>
      </w:r>
      <w:r>
        <w:rPr>
          <w:rFonts w:ascii="Times New Roman" w:eastAsia="Times New Roman" w:hAnsi="Times New Roman" w:cs="Times New Roman"/>
          <w:color w:val="000000"/>
          <w:sz w:val="20"/>
          <w:szCs w:val="20"/>
        </w:rPr>
        <w:t>từ Báo cáo tổng kết của 63 tỉnh, thành phố trực thuộc Trung ương năm 2022; Hội nghị tổng kết 06 năm triển khai thi hành Luậ</w:t>
      </w:r>
      <w:r>
        <w:rPr>
          <w:rFonts w:ascii="Times New Roman" w:eastAsia="Times New Roman" w:hAnsi="Times New Roman" w:cs="Times New Roman"/>
          <w:color w:val="000000"/>
          <w:sz w:val="20"/>
          <w:szCs w:val="20"/>
        </w:rPr>
        <w:t>t hộ tịch.</w:t>
      </w:r>
    </w:p>
  </w:footnote>
  <w:footnote w:id="6">
    <w:p w:rsidR="00064174" w:rsidRDefault="00966D7D">
      <w:pPr>
        <w:pBdr>
          <w:top w:val="nil"/>
          <w:left w:val="nil"/>
          <w:bottom w:val="nil"/>
          <w:right w:val="nil"/>
          <w:between w:val="nil"/>
        </w:pBdr>
        <w:spacing w:before="0" w:after="0" w:line="240" w:lineRule="auto"/>
        <w:jc w:val="both"/>
        <w:rPr>
          <w:rFonts w:ascii="Times New Roman" w:eastAsia="Times New Roman" w:hAnsi="Times New Roman" w:cs="Times New Roman"/>
          <w:color w:val="000000"/>
          <w:sz w:val="20"/>
          <w:szCs w:val="20"/>
        </w:rPr>
      </w:pPr>
      <w:r>
        <w:rPr>
          <w:rStyle w:val="FootnoteReference"/>
        </w:rPr>
        <w:footnoteRef/>
      </w:r>
      <w:r>
        <w:rPr>
          <w:rFonts w:ascii="Times New Roman" w:eastAsia="Times New Roman" w:hAnsi="Times New Roman" w:cs="Times New Roman"/>
          <w:color w:val="000000"/>
          <w:sz w:val="20"/>
          <w:szCs w:val="20"/>
        </w:rPr>
        <w:t xml:space="preserve"> - Luật Hộ tịch quy định thủ tục đăng ký giám hộ bao gồm: Đăng ký giám hộ đương nhiên, đăng ký giám hộ cử, đăng ký chấm dứt giám hộ và đăng ký thay đổi giám hộ. Đối với yêu cầu giám sát việc giám hộ theo quy định tại Điều 51 Bộ luật Dân sự thì Luật Hộ tịch</w:t>
      </w:r>
      <w:r>
        <w:rPr>
          <w:rFonts w:ascii="Times New Roman" w:eastAsia="Times New Roman" w:hAnsi="Times New Roman" w:cs="Times New Roman"/>
          <w:color w:val="000000"/>
          <w:sz w:val="20"/>
          <w:szCs w:val="20"/>
        </w:rPr>
        <w:t xml:space="preserve"> chưa có quy định cụ thể (hiện mới chỉ được quy định tại Nghị định số 07/2025/NĐ-CP ngày 09/01/2025 của Chính phủ);</w:t>
      </w:r>
    </w:p>
    <w:p w:rsidR="00064174" w:rsidRDefault="00966D7D">
      <w:pPr>
        <w:pBdr>
          <w:top w:val="nil"/>
          <w:left w:val="nil"/>
          <w:bottom w:val="nil"/>
          <w:right w:val="nil"/>
          <w:between w:val="nil"/>
        </w:pBdr>
        <w:spacing w:before="0" w:after="0" w:line="24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Phạm vi thay đổi hộ tịch chưa cho phép thay đổi quê quán, trong khi đó, thông tin về quê quán cũng là một trong những thông tin cá nhân mà</w:t>
      </w:r>
      <w:r>
        <w:rPr>
          <w:rFonts w:ascii="Times New Roman" w:eastAsia="Times New Roman" w:hAnsi="Times New Roman" w:cs="Times New Roman"/>
          <w:color w:val="000000"/>
          <w:sz w:val="20"/>
          <w:szCs w:val="20"/>
        </w:rPr>
        <w:t xml:space="preserve"> Luật Hộ tịch cho phép cha, mẹ được thỏa thuận lựa chọn cho con khi đăng ký khai sinh. Tương tự, đối với trường hợp chấm dứt việc nuôi con nuôi, con nuôi muốn thay đổi thông tin về cha mẹ từ cha mẹ nuôi sang cha, mẹ đẻ;</w:t>
      </w:r>
    </w:p>
    <w:p w:rsidR="00064174" w:rsidRDefault="00966D7D">
      <w:pPr>
        <w:pBdr>
          <w:top w:val="nil"/>
          <w:left w:val="nil"/>
          <w:bottom w:val="nil"/>
          <w:right w:val="nil"/>
          <w:between w:val="nil"/>
        </w:pBdr>
        <w:spacing w:before="0" w:after="0" w:line="24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Luật Hộ tịch quy định việc thay đổ</w:t>
      </w:r>
      <w:r>
        <w:rPr>
          <w:rFonts w:ascii="Times New Roman" w:eastAsia="Times New Roman" w:hAnsi="Times New Roman" w:cs="Times New Roman"/>
          <w:color w:val="000000"/>
          <w:sz w:val="20"/>
          <w:szCs w:val="20"/>
        </w:rPr>
        <w:t>i hộ tịch, xác định lại dân tộc cho cá nhân trong nội dung khai sinh đã được đăng ký, nhưng chưa có quy định hướng dẫn việc điều chỉnh thông tin/ghi chú nội dung thay đổi trong các giấy tờ hộ tịch khác có liên quan;</w:t>
      </w:r>
    </w:p>
    <w:p w:rsidR="00064174" w:rsidRDefault="00966D7D">
      <w:pPr>
        <w:pBdr>
          <w:top w:val="nil"/>
          <w:left w:val="nil"/>
          <w:bottom w:val="nil"/>
          <w:right w:val="nil"/>
          <w:between w:val="nil"/>
        </w:pBdr>
        <w:spacing w:before="0" w:after="0" w:line="24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Quy định về thủ tục ghi vào sổ hộ tịch</w:t>
      </w:r>
      <w:r>
        <w:rPr>
          <w:rFonts w:ascii="Times New Roman" w:eastAsia="Times New Roman" w:hAnsi="Times New Roman" w:cs="Times New Roman"/>
          <w:color w:val="000000"/>
          <w:sz w:val="20"/>
          <w:szCs w:val="20"/>
        </w:rPr>
        <w:t xml:space="preserve"> việc khai sinh cũng cần điều chỉnh để phù hợp với pháp luật liên quan.</w:t>
      </w:r>
    </w:p>
  </w:footnote>
  <w:footnote w:id="7">
    <w:p w:rsidR="00064174" w:rsidRPr="00966D7D" w:rsidRDefault="00966D7D">
      <w:pPr>
        <w:pBdr>
          <w:top w:val="nil"/>
          <w:left w:val="nil"/>
          <w:bottom w:val="nil"/>
          <w:right w:val="nil"/>
          <w:between w:val="nil"/>
        </w:pBdr>
        <w:spacing w:before="0" w:after="0" w:line="240" w:lineRule="auto"/>
        <w:jc w:val="both"/>
        <w:rPr>
          <w:rFonts w:ascii="Times New Roman" w:eastAsia="Times New Roman" w:hAnsi="Times New Roman" w:cs="Times New Roman"/>
          <w:color w:val="000000"/>
          <w:spacing w:val="-6"/>
          <w:sz w:val="20"/>
          <w:szCs w:val="20"/>
        </w:rPr>
      </w:pPr>
      <w:r w:rsidRPr="00966D7D">
        <w:rPr>
          <w:rStyle w:val="FootnoteReference"/>
          <w:spacing w:val="-6"/>
        </w:rPr>
        <w:footnoteRef/>
      </w:r>
      <w:r w:rsidRPr="00966D7D">
        <w:rPr>
          <w:rFonts w:ascii="Times New Roman" w:eastAsia="Times New Roman" w:hAnsi="Times New Roman" w:cs="Times New Roman"/>
          <w:color w:val="000000"/>
          <w:spacing w:val="-6"/>
          <w:sz w:val="20"/>
          <w:szCs w:val="20"/>
        </w:rPr>
        <w:t xml:space="preserve"> Luật Tổ chức chính quyền địa phương; Luật Quốc tịch Việt Nam; Luật Căn cước; Nghị quyết số 203/2025/QH15 ngày 16/6/2025 của Quốc hội về việc sửa đổi, bổ sung một số điều của Hiến phá</w:t>
      </w:r>
      <w:r w:rsidRPr="00966D7D">
        <w:rPr>
          <w:rFonts w:ascii="Times New Roman" w:eastAsia="Times New Roman" w:hAnsi="Times New Roman" w:cs="Times New Roman"/>
          <w:color w:val="000000"/>
          <w:spacing w:val="-6"/>
          <w:sz w:val="20"/>
          <w:szCs w:val="20"/>
        </w:rPr>
        <w:t>p nước Cộng hoà XHCN Việt Nam…</w:t>
      </w:r>
    </w:p>
  </w:footnote>
  <w:footnote w:id="8">
    <w:p w:rsidR="00064174" w:rsidRDefault="00966D7D">
      <w:pPr>
        <w:spacing w:before="0" w:after="0" w:line="240" w:lineRule="auto"/>
        <w:rPr>
          <w:rFonts w:ascii="Times New Roman" w:eastAsia="Times New Roman" w:hAnsi="Times New Roman" w:cs="Times New Roman"/>
          <w:sz w:val="20"/>
          <w:szCs w:val="20"/>
        </w:rPr>
      </w:pPr>
      <w:r>
        <w:rPr>
          <w:rStyle w:val="FootnoteReference"/>
        </w:rPr>
        <w:footnoteRef/>
      </w:r>
      <w:r>
        <w:rPr>
          <w:rFonts w:ascii="Times New Roman" w:eastAsia="Times New Roman" w:hAnsi="Times New Roman" w:cs="Times New Roman"/>
          <w:sz w:val="20"/>
          <w:szCs w:val="20"/>
        </w:rPr>
        <w:t xml:space="preserve"> Điều 5, Điều 9, Điều 15, Điều 19, Điều 22, Điều 24, Điều 27, Điều 29, Điều 32, Điều 45, Điều 46.</w:t>
      </w:r>
    </w:p>
  </w:footnote>
  <w:footnote w:id="9">
    <w:p w:rsidR="00064174" w:rsidRDefault="00966D7D">
      <w:pPr>
        <w:spacing w:before="0" w:after="0" w:line="240" w:lineRule="auto"/>
        <w:rPr>
          <w:sz w:val="20"/>
          <w:szCs w:val="20"/>
        </w:rPr>
      </w:pPr>
      <w:r>
        <w:rPr>
          <w:rStyle w:val="FootnoteReference"/>
        </w:rPr>
        <w:footnoteRef/>
      </w:r>
      <w:r>
        <w:rPr>
          <w:sz w:val="20"/>
          <w:szCs w:val="20"/>
        </w:rPr>
        <w:t xml:space="preserve"> </w:t>
      </w:r>
      <w:r>
        <w:rPr>
          <w:rFonts w:ascii="Times New Roman" w:eastAsia="Times New Roman" w:hAnsi="Times New Roman" w:cs="Times New Roman"/>
          <w:sz w:val="20"/>
          <w:szCs w:val="20"/>
        </w:rPr>
        <w:t>Điều 15, Điều 19, Điều 22, Điều 24, Điều 27, Điều 29, Điều 32</w:t>
      </w:r>
    </w:p>
  </w:footnote>
  <w:footnote w:id="10">
    <w:p w:rsidR="00064174" w:rsidRDefault="00966D7D">
      <w:pPr>
        <w:spacing w:before="0" w:after="0" w:line="240" w:lineRule="auto"/>
        <w:rPr>
          <w:rFonts w:ascii="Times New Roman" w:eastAsia="Times New Roman" w:hAnsi="Times New Roman" w:cs="Times New Roman"/>
          <w:sz w:val="20"/>
          <w:szCs w:val="20"/>
        </w:rPr>
      </w:pPr>
      <w:r>
        <w:rPr>
          <w:rStyle w:val="FootnoteReference"/>
        </w:rPr>
        <w:footnoteRef/>
      </w:r>
      <w:r>
        <w:rPr>
          <w:rFonts w:ascii="Times New Roman" w:eastAsia="Times New Roman" w:hAnsi="Times New Roman" w:cs="Times New Roman"/>
          <w:sz w:val="20"/>
          <w:szCs w:val="20"/>
        </w:rPr>
        <w:t xml:space="preserve"> Điều 18</w:t>
      </w:r>
      <w:r>
        <w:rPr>
          <w:rFonts w:ascii="Times New Roman" w:eastAsia="Times New Roman" w:hAnsi="Times New Roman" w:cs="Times New Roman"/>
          <w:sz w:val="20"/>
          <w:szCs w:val="20"/>
        </w:rPr>
        <w:t>, Điều 21, Điều 23, Điều 25, Điều 28, Điều 31, Điều 33</w:t>
      </w:r>
    </w:p>
  </w:footnote>
  <w:footnote w:id="11">
    <w:p w:rsidR="00064174" w:rsidRDefault="00966D7D">
      <w:pPr>
        <w:spacing w:before="0" w:after="0" w:line="240" w:lineRule="auto"/>
        <w:rPr>
          <w:sz w:val="20"/>
          <w:szCs w:val="20"/>
        </w:rPr>
      </w:pPr>
      <w:r>
        <w:rPr>
          <w:rStyle w:val="FootnoteReference"/>
        </w:rPr>
        <w:footnoteRef/>
      </w:r>
      <w:r>
        <w:rPr>
          <w:rFonts w:ascii="Times New Roman" w:eastAsia="Times New Roman" w:hAnsi="Times New Roman" w:cs="Times New Roman"/>
          <w:sz w:val="20"/>
          <w:szCs w:val="20"/>
        </w:rPr>
        <w:t>Điều 11,  Điều 18, Điều 21, Điều 23, Điều 25, Điều 28, Điều 31, Điều 33</w:t>
      </w:r>
    </w:p>
  </w:footnote>
  <w:footnote w:id="12">
    <w:p w:rsidR="00064174" w:rsidRDefault="00966D7D">
      <w:pPr>
        <w:spacing w:before="0" w:after="0" w:line="240" w:lineRule="auto"/>
        <w:rPr>
          <w:sz w:val="20"/>
          <w:szCs w:val="20"/>
        </w:rPr>
      </w:pPr>
      <w:r>
        <w:rPr>
          <w:rStyle w:val="FootnoteReference"/>
        </w:rPr>
        <w:footnoteRef/>
      </w:r>
      <w:r>
        <w:rPr>
          <w:sz w:val="20"/>
          <w:szCs w:val="20"/>
        </w:rPr>
        <w:t xml:space="preserve"> </w:t>
      </w:r>
      <w:r>
        <w:rPr>
          <w:rFonts w:ascii="Times New Roman" w:eastAsia="Times New Roman" w:hAnsi="Times New Roman" w:cs="Times New Roman"/>
          <w:sz w:val="20"/>
          <w:szCs w:val="20"/>
        </w:rPr>
        <w:t>Gần đây, vụ việc hơn 237 nghìn nhân viên chính phủ Mỹ bị lộ thông tin</w:t>
      </w:r>
      <w:r>
        <w:rPr>
          <w:rFonts w:ascii="Times New Roman" w:eastAsia="Times New Roman" w:hAnsi="Times New Roman" w:cs="Times New Roman"/>
          <w:sz w:val="20"/>
          <w:szCs w:val="20"/>
        </w:rPr>
        <w:t xml:space="preserve"> cá nhân đặt ra vấn đề đáng chú ý về bảo mật thông tin; tại Đông Nam Á trong những năm gần đây cũng xảy ra nhiều sự cố về bảo mật thông tin</w:t>
      </w:r>
    </w:p>
  </w:footnote>
  <w:footnote w:id="13">
    <w:p w:rsidR="00064174" w:rsidRDefault="00966D7D">
      <w:pPr>
        <w:spacing w:before="0" w:after="0" w:line="240" w:lineRule="auto"/>
        <w:jc w:val="both"/>
        <w:rPr>
          <w:sz w:val="20"/>
          <w:szCs w:val="20"/>
        </w:rPr>
      </w:pPr>
      <w:r>
        <w:rPr>
          <w:rStyle w:val="FootnoteReference"/>
        </w:rPr>
        <w:footnoteRef/>
      </w:r>
      <w:r>
        <w:rPr>
          <w:sz w:val="20"/>
          <w:szCs w:val="20"/>
        </w:rPr>
        <w:t xml:space="preserve"> </w:t>
      </w:r>
      <w:r>
        <w:rPr>
          <w:rFonts w:ascii="Times New Roman" w:eastAsia="Times New Roman" w:hAnsi="Times New Roman" w:cs="Times New Roman"/>
          <w:sz w:val="20"/>
          <w:szCs w:val="20"/>
        </w:rPr>
        <w:t xml:space="preserve">Kinh nghiệm pháp luật quốc tế cho thấy hầu hết các quốc gia châu Á (trừ Nhật Bản, Hàn Quốc), châu Phi, phần lớn các nước châu </w:t>
      </w:r>
      <w:r>
        <w:rPr>
          <w:rFonts w:ascii="Times New Roman" w:eastAsia="Times New Roman" w:hAnsi="Times New Roman" w:cs="Times New Roman"/>
          <w:sz w:val="20"/>
          <w:szCs w:val="20"/>
        </w:rPr>
        <w:t>Âu, châu Mỹ Latinh yêu cầu các bên phải có mặt khi đăng ký kết hôn (như: Pháp, CHLB Đức, Anh, Canada, Trung Quốc, Ấn Độ, Indonexia, Cộng hòa Nam Phi, Nigieria, Chile, Colombia, Peru…).</w:t>
      </w:r>
    </w:p>
  </w:footnote>
  <w:footnote w:id="14">
    <w:p w:rsidR="00064174" w:rsidRDefault="00966D7D">
      <w:pPr>
        <w:spacing w:before="0" w:after="0" w:line="240" w:lineRule="auto"/>
        <w:jc w:val="both"/>
        <w:rPr>
          <w:sz w:val="20"/>
          <w:szCs w:val="20"/>
        </w:rPr>
      </w:pPr>
      <w:r>
        <w:rPr>
          <w:rStyle w:val="FootnoteReference"/>
        </w:rPr>
        <w:footnoteRef/>
      </w:r>
      <w:r>
        <w:rPr>
          <w:sz w:val="20"/>
          <w:szCs w:val="20"/>
        </w:rPr>
        <w:t xml:space="preserve"> </w:t>
      </w:r>
      <w:r>
        <w:rPr>
          <w:rFonts w:ascii="Times New Roman" w:eastAsia="Times New Roman" w:hAnsi="Times New Roman" w:cs="Times New Roman"/>
          <w:sz w:val="20"/>
          <w:szCs w:val="20"/>
          <w:highlight w:val="white"/>
        </w:rPr>
        <w:t xml:space="preserve">Cơ quan, người có thẩm quyền phải ban hành văn bản quy phạm pháp luật theo thẩm quyền hoặc trình cấp có thẩm quyền ban hành văn bản quy phạm pháp luật theo trình tự, thủ tục rút gọn để xử lý các văn bản chịu sự tác động do </w:t>
      </w:r>
      <w:r>
        <w:rPr>
          <w:rFonts w:ascii="Times New Roman" w:eastAsia="Times New Roman" w:hAnsi="Times New Roman" w:cs="Times New Roman"/>
          <w:sz w:val="20"/>
          <w:szCs w:val="20"/>
          <w:highlight w:val="white"/>
        </w:rPr>
        <w:t>sắp xếp tổ chức bộ máy nhà nước, bảo đảm hoàn thành trước ngày 01 tháng 3 năm 2027</w:t>
      </w:r>
      <w:r>
        <w:rPr>
          <w:rFonts w:ascii="Times New Roman" w:eastAsia="Times New Roman" w:hAnsi="Times New Roman" w:cs="Times New Roman"/>
          <w:sz w:val="20"/>
          <w:szCs w:val="20"/>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4174" w:rsidRDefault="00966D7D">
    <w:pPr>
      <w:pBdr>
        <w:top w:val="nil"/>
        <w:left w:val="nil"/>
        <w:bottom w:val="nil"/>
        <w:right w:val="nil"/>
        <w:between w:val="nil"/>
      </w:pBdr>
      <w:tabs>
        <w:tab w:val="center" w:pos="4680"/>
        <w:tab w:val="right" w:pos="9360"/>
      </w:tabs>
      <w:spacing w:before="0" w:after="0" w:line="240" w:lineRule="auto"/>
      <w:jc w:val="center"/>
      <w:rPr>
        <w:color w:val="000000"/>
        <w:sz w:val="20"/>
        <w:szCs w:val="20"/>
      </w:rPr>
    </w:pPr>
    <w:r>
      <w:rPr>
        <w:rFonts w:ascii="Times New Roman" w:eastAsia="Times New Roman" w:hAnsi="Times New Roman" w:cs="Times New Roman"/>
        <w:color w:val="000000"/>
        <w:sz w:val="20"/>
        <w:szCs w:val="20"/>
      </w:rPr>
      <w:fldChar w:fldCharType="begin"/>
    </w:r>
    <w:r>
      <w:rPr>
        <w:rFonts w:ascii="Times New Roman" w:eastAsia="Times New Roman" w:hAnsi="Times New Roman" w:cs="Times New Roman"/>
        <w:color w:val="000000"/>
        <w:sz w:val="20"/>
        <w:szCs w:val="20"/>
      </w:rPr>
      <w:instrText>PAGE</w:instrText>
    </w:r>
    <w:r>
      <w:rPr>
        <w:rFonts w:ascii="Times New Roman" w:eastAsia="Times New Roman" w:hAnsi="Times New Roman" w:cs="Times New Roman"/>
        <w:color w:val="000000"/>
        <w:sz w:val="20"/>
        <w:szCs w:val="20"/>
      </w:rPr>
      <w:fldChar w:fldCharType="separate"/>
    </w:r>
    <w:r>
      <w:rPr>
        <w:rFonts w:ascii="Times New Roman" w:eastAsia="Times New Roman" w:hAnsi="Times New Roman" w:cs="Times New Roman"/>
        <w:noProof/>
        <w:color w:val="000000"/>
        <w:sz w:val="20"/>
        <w:szCs w:val="20"/>
      </w:rPr>
      <w:t>19</w:t>
    </w:r>
    <w:r>
      <w:rPr>
        <w:rFonts w:ascii="Times New Roman" w:eastAsia="Times New Roman" w:hAnsi="Times New Roman" w:cs="Times New Roman"/>
        <w:color w:val="000000"/>
        <w:sz w:val="20"/>
        <w:szCs w:val="20"/>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4174" w:rsidRDefault="00064174">
    <w:pPr>
      <w:pBdr>
        <w:top w:val="nil"/>
        <w:left w:val="nil"/>
        <w:bottom w:val="nil"/>
        <w:right w:val="nil"/>
        <w:between w:val="nil"/>
      </w:pBdr>
      <w:tabs>
        <w:tab w:val="center" w:pos="4680"/>
        <w:tab w:val="right" w:pos="9360"/>
      </w:tabs>
      <w:spacing w:before="0" w:after="0" w:line="240" w:lineRule="auto"/>
      <w:jc w:val="center"/>
      <w:rPr>
        <w:color w:val="000000"/>
        <w:sz w:val="20"/>
        <w:szCs w:val="20"/>
      </w:rPr>
    </w:pPr>
  </w:p>
  <w:p w:rsidR="00064174" w:rsidRDefault="00064174">
    <w:pPr>
      <w:pBdr>
        <w:top w:val="nil"/>
        <w:left w:val="nil"/>
        <w:bottom w:val="nil"/>
        <w:right w:val="nil"/>
        <w:between w:val="nil"/>
      </w:pBdr>
      <w:tabs>
        <w:tab w:val="center" w:pos="4680"/>
        <w:tab w:val="right" w:pos="9360"/>
      </w:tabs>
      <w:spacing w:before="0" w:after="0" w:line="240" w:lineRule="auto"/>
      <w:jc w:val="center"/>
      <w:rPr>
        <w:color w:val="000000"/>
        <w:sz w:val="20"/>
        <w:szCs w:val="2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64174"/>
    <w:rsid w:val="00064174"/>
    <w:rsid w:val="00966D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C09880A-56CD-4644-95AD-32C7ADDD6D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en" w:eastAsia="en-US" w:bidi="ar-SA"/>
      </w:rPr>
    </w:rPrDefault>
    <w:pPrDefault>
      <w:pPr>
        <w:spacing w:before="60"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link w:val="Heading1Char"/>
    <w:pPr>
      <w:keepNext/>
      <w:keepLines/>
      <w:spacing w:before="360" w:after="80" w:line="278" w:lineRule="auto"/>
      <w:outlineLvl w:val="0"/>
    </w:pPr>
    <w:rPr>
      <w:color w:val="2F5496"/>
      <w:sz w:val="40"/>
      <w:szCs w:val="40"/>
    </w:rPr>
  </w:style>
  <w:style w:type="paragraph" w:styleId="Heading2">
    <w:name w:val="heading 2"/>
    <w:basedOn w:val="Normal"/>
    <w:next w:val="Normal"/>
    <w:link w:val="Heading2Char"/>
    <w:pPr>
      <w:keepNext/>
      <w:keepLines/>
      <w:spacing w:before="160" w:after="80" w:line="278" w:lineRule="auto"/>
      <w:outlineLvl w:val="1"/>
    </w:pPr>
    <w:rPr>
      <w:color w:val="2F5496"/>
      <w:sz w:val="32"/>
      <w:szCs w:val="32"/>
    </w:rPr>
  </w:style>
  <w:style w:type="paragraph" w:styleId="Heading3">
    <w:name w:val="heading 3"/>
    <w:basedOn w:val="Normal"/>
    <w:next w:val="Normal"/>
    <w:link w:val="Heading3Char"/>
    <w:pPr>
      <w:keepNext/>
      <w:keepLines/>
      <w:spacing w:before="160" w:after="80" w:line="278" w:lineRule="auto"/>
      <w:outlineLvl w:val="2"/>
    </w:pPr>
    <w:rPr>
      <w:color w:val="2F5496"/>
      <w:sz w:val="28"/>
      <w:szCs w:val="28"/>
    </w:rPr>
  </w:style>
  <w:style w:type="paragraph" w:styleId="Heading4">
    <w:name w:val="heading 4"/>
    <w:basedOn w:val="Normal"/>
    <w:next w:val="Normal"/>
    <w:link w:val="Heading4Char"/>
    <w:pPr>
      <w:keepNext/>
      <w:keepLines/>
      <w:spacing w:before="80" w:after="40" w:line="278" w:lineRule="auto"/>
      <w:outlineLvl w:val="3"/>
    </w:pPr>
    <w:rPr>
      <w:i/>
      <w:iCs/>
      <w:color w:val="2F5496"/>
      <w:sz w:val="24"/>
      <w:szCs w:val="24"/>
    </w:rPr>
  </w:style>
  <w:style w:type="paragraph" w:styleId="Heading5">
    <w:name w:val="heading 5"/>
    <w:basedOn w:val="Normal"/>
    <w:next w:val="Normal"/>
    <w:link w:val="Heading5Char"/>
    <w:pPr>
      <w:keepNext/>
      <w:keepLines/>
      <w:spacing w:before="80" w:after="40" w:line="278" w:lineRule="auto"/>
      <w:outlineLvl w:val="4"/>
    </w:pPr>
    <w:rPr>
      <w:color w:val="2F5496"/>
      <w:sz w:val="24"/>
      <w:szCs w:val="24"/>
    </w:rPr>
  </w:style>
  <w:style w:type="paragraph" w:styleId="Heading6">
    <w:name w:val="heading 6"/>
    <w:basedOn w:val="Normal"/>
    <w:next w:val="Normal"/>
    <w:link w:val="Heading6Char"/>
    <w:pPr>
      <w:keepNext/>
      <w:keepLines/>
      <w:spacing w:before="40" w:after="0" w:line="278" w:lineRule="auto"/>
      <w:outlineLvl w:val="5"/>
    </w:pPr>
    <w:rPr>
      <w:i/>
      <w:iCs/>
      <w:color w:val="595959"/>
      <w:sz w:val="24"/>
      <w:szCs w:val="24"/>
    </w:rPr>
  </w:style>
  <w:style w:type="paragraph" w:styleId="Heading7">
    <w:name w:val="heading 7"/>
    <w:basedOn w:val="Normal"/>
    <w:next w:val="Normal"/>
    <w:link w:val="Heading7Char"/>
    <w:uiPriority w:val="9"/>
    <w:semiHidden/>
    <w:unhideWhenUsed/>
    <w:qFormat/>
    <w:rsid w:val="00C6633C"/>
    <w:pPr>
      <w:keepNext/>
      <w:keepLines/>
      <w:spacing w:before="40" w:after="0" w:line="278" w:lineRule="auto"/>
      <w:outlineLvl w:val="6"/>
    </w:pPr>
    <w:rPr>
      <w:rFonts w:asciiTheme="minorHAnsi" w:eastAsiaTheme="majorEastAsia" w:hAnsiTheme="minorHAnsi" w:cstheme="majorBidi"/>
      <w:color w:val="595959" w:themeColor="text1" w:themeTint="A6"/>
      <w:kern w:val="2"/>
      <w:sz w:val="24"/>
      <w:szCs w:val="24"/>
      <w:lang w:val="en-US"/>
    </w:rPr>
  </w:style>
  <w:style w:type="paragraph" w:styleId="Heading8">
    <w:name w:val="heading 8"/>
    <w:basedOn w:val="Normal"/>
    <w:next w:val="Normal"/>
    <w:link w:val="Heading8Char"/>
    <w:uiPriority w:val="9"/>
    <w:semiHidden/>
    <w:unhideWhenUsed/>
    <w:qFormat/>
    <w:rsid w:val="00C6633C"/>
    <w:pPr>
      <w:keepNext/>
      <w:keepLines/>
      <w:spacing w:before="0" w:after="0" w:line="278" w:lineRule="auto"/>
      <w:outlineLvl w:val="7"/>
    </w:pPr>
    <w:rPr>
      <w:rFonts w:asciiTheme="minorHAnsi" w:eastAsiaTheme="majorEastAsia" w:hAnsiTheme="minorHAnsi" w:cstheme="majorBidi"/>
      <w:i/>
      <w:iCs/>
      <w:color w:val="272727" w:themeColor="text1" w:themeTint="D8"/>
      <w:kern w:val="2"/>
      <w:sz w:val="24"/>
      <w:szCs w:val="24"/>
      <w:lang w:val="en-US"/>
    </w:rPr>
  </w:style>
  <w:style w:type="paragraph" w:styleId="Heading9">
    <w:name w:val="heading 9"/>
    <w:basedOn w:val="Normal"/>
    <w:next w:val="Normal"/>
    <w:link w:val="Heading9Char"/>
    <w:uiPriority w:val="9"/>
    <w:semiHidden/>
    <w:unhideWhenUsed/>
    <w:qFormat/>
    <w:rsid w:val="00C6633C"/>
    <w:pPr>
      <w:keepNext/>
      <w:keepLines/>
      <w:spacing w:before="0" w:after="0" w:line="278" w:lineRule="auto"/>
      <w:outlineLvl w:val="8"/>
    </w:pPr>
    <w:rPr>
      <w:rFonts w:asciiTheme="minorHAnsi" w:eastAsiaTheme="majorEastAsia" w:hAnsiTheme="minorHAnsi" w:cstheme="majorBidi"/>
      <w:color w:val="272727" w:themeColor="text1" w:themeTint="D8"/>
      <w:kern w:val="2"/>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pPr>
      <w:spacing w:before="0" w:after="80" w:line="240" w:lineRule="auto"/>
    </w:pPr>
    <w:rPr>
      <w:sz w:val="56"/>
      <w:szCs w:val="56"/>
    </w:rPr>
  </w:style>
  <w:style w:type="character" w:customStyle="1" w:styleId="Heading1Char">
    <w:name w:val="Heading 1 Char"/>
    <w:basedOn w:val="DefaultParagraphFont"/>
    <w:link w:val="Heading1"/>
    <w:uiPriority w:val="9"/>
    <w:rsid w:val="00C6633C"/>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C6633C"/>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C6633C"/>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C6633C"/>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C6633C"/>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C6633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6633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6633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6633C"/>
    <w:rPr>
      <w:rFonts w:eastAsiaTheme="majorEastAsia" w:cstheme="majorBidi"/>
      <w:color w:val="272727" w:themeColor="text1" w:themeTint="D8"/>
    </w:rPr>
  </w:style>
  <w:style w:type="character" w:customStyle="1" w:styleId="TitleChar">
    <w:name w:val="Title Char"/>
    <w:basedOn w:val="DefaultParagraphFont"/>
    <w:link w:val="Title"/>
    <w:uiPriority w:val="10"/>
    <w:rsid w:val="00C6633C"/>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C6633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6633C"/>
    <w:pPr>
      <w:spacing w:before="160" w:line="278" w:lineRule="auto"/>
      <w:jc w:val="center"/>
    </w:pPr>
    <w:rPr>
      <w:rFonts w:asciiTheme="minorHAnsi" w:eastAsiaTheme="minorHAnsi" w:hAnsiTheme="minorHAnsi" w:cstheme="minorBidi"/>
      <w:i/>
      <w:iCs/>
      <w:color w:val="404040" w:themeColor="text1" w:themeTint="BF"/>
      <w:kern w:val="2"/>
      <w:sz w:val="24"/>
      <w:szCs w:val="24"/>
      <w:lang w:val="en-US"/>
    </w:rPr>
  </w:style>
  <w:style w:type="character" w:customStyle="1" w:styleId="QuoteChar">
    <w:name w:val="Quote Char"/>
    <w:basedOn w:val="DefaultParagraphFont"/>
    <w:link w:val="Quote"/>
    <w:uiPriority w:val="29"/>
    <w:rsid w:val="00C6633C"/>
    <w:rPr>
      <w:i/>
      <w:iCs/>
      <w:color w:val="404040" w:themeColor="text1" w:themeTint="BF"/>
    </w:rPr>
  </w:style>
  <w:style w:type="paragraph" w:styleId="ListParagraph">
    <w:name w:val="List Paragraph"/>
    <w:basedOn w:val="Normal"/>
    <w:uiPriority w:val="34"/>
    <w:qFormat/>
    <w:rsid w:val="00C6633C"/>
    <w:pPr>
      <w:spacing w:before="0" w:line="278" w:lineRule="auto"/>
      <w:ind w:left="720"/>
      <w:contextualSpacing/>
    </w:pPr>
    <w:rPr>
      <w:rFonts w:asciiTheme="minorHAnsi" w:eastAsiaTheme="minorHAnsi" w:hAnsiTheme="minorHAnsi" w:cstheme="minorBidi"/>
      <w:kern w:val="2"/>
      <w:sz w:val="24"/>
      <w:szCs w:val="24"/>
      <w:lang w:val="en-US"/>
    </w:rPr>
  </w:style>
  <w:style w:type="character" w:styleId="IntenseEmphasis">
    <w:name w:val="Intense Emphasis"/>
    <w:basedOn w:val="DefaultParagraphFont"/>
    <w:uiPriority w:val="21"/>
    <w:qFormat/>
    <w:rsid w:val="00C6633C"/>
    <w:rPr>
      <w:i/>
      <w:iCs/>
      <w:color w:val="2F5496" w:themeColor="accent1" w:themeShade="BF"/>
    </w:rPr>
  </w:style>
  <w:style w:type="paragraph" w:styleId="IntenseQuote">
    <w:name w:val="Intense Quote"/>
    <w:basedOn w:val="Normal"/>
    <w:next w:val="Normal"/>
    <w:link w:val="IntenseQuoteChar"/>
    <w:uiPriority w:val="30"/>
    <w:qFormat/>
    <w:rsid w:val="00C6633C"/>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eastAsiaTheme="minorHAnsi" w:hAnsiTheme="minorHAnsi" w:cstheme="minorBidi"/>
      <w:i/>
      <w:iCs/>
      <w:color w:val="2F5496" w:themeColor="accent1" w:themeShade="BF"/>
      <w:kern w:val="2"/>
      <w:sz w:val="24"/>
      <w:szCs w:val="24"/>
      <w:lang w:val="en-US"/>
    </w:rPr>
  </w:style>
  <w:style w:type="character" w:customStyle="1" w:styleId="IntenseQuoteChar">
    <w:name w:val="Intense Quote Char"/>
    <w:basedOn w:val="DefaultParagraphFont"/>
    <w:link w:val="IntenseQuote"/>
    <w:uiPriority w:val="30"/>
    <w:rsid w:val="00C6633C"/>
    <w:rPr>
      <w:i/>
      <w:iCs/>
      <w:color w:val="2F5496" w:themeColor="accent1" w:themeShade="BF"/>
    </w:rPr>
  </w:style>
  <w:style w:type="character" w:styleId="IntenseReference">
    <w:name w:val="Intense Reference"/>
    <w:basedOn w:val="DefaultParagraphFont"/>
    <w:uiPriority w:val="32"/>
    <w:qFormat/>
    <w:rsid w:val="00C6633C"/>
    <w:rPr>
      <w:b/>
      <w:bCs/>
      <w:smallCaps/>
      <w:color w:val="2F5496" w:themeColor="accent1" w:themeShade="BF"/>
      <w:spacing w:val="5"/>
    </w:rPr>
  </w:style>
  <w:style w:type="character" w:styleId="FootnoteReference">
    <w:name w:val="footnote reference"/>
    <w:aliases w:val="ftref,Footnote,Footnote text,16 Point,Superscript 6 Point,Superscript 6 Point + 11 pt,(NECG) Footnote Reference,Fußnotenzeichen DISS,fr,Footnote Ref in FtNote,BVI fnr,E FNZ,-E Fußnotenzeichen,Footnote#,BearingPoint,Footnote Text1,f,Re"/>
    <w:link w:val="4GCharCharChar"/>
    <w:uiPriority w:val="99"/>
    <w:qFormat/>
    <w:rsid w:val="00C6633C"/>
    <w:rPr>
      <w:vertAlign w:val="superscript"/>
    </w:rPr>
  </w:style>
  <w:style w:type="paragraph" w:customStyle="1" w:styleId="4GCharCharChar">
    <w:name w:val="4_G Char Char Char"/>
    <w:aliases w:val="Footnotes refss Char Char Char,ftref Char Char Char,BVI fnr Char Char Char,BVI fnr Car Car Char Char Char,BVI fnr Car Char Char Char,BVI fnr Car Car Car Car Char Char1 Char,BVI fnr Char Car Car Car Char Char Char"/>
    <w:basedOn w:val="Normal"/>
    <w:link w:val="FootnoteReference"/>
    <w:uiPriority w:val="99"/>
    <w:qFormat/>
    <w:rsid w:val="00C6633C"/>
    <w:pPr>
      <w:spacing w:before="100" w:after="0" w:line="240" w:lineRule="exact"/>
    </w:pPr>
    <w:rPr>
      <w:rFonts w:asciiTheme="minorHAnsi" w:eastAsiaTheme="minorHAnsi" w:hAnsiTheme="minorHAnsi" w:cstheme="minorBidi"/>
      <w:kern w:val="2"/>
      <w:sz w:val="24"/>
      <w:szCs w:val="24"/>
      <w:vertAlign w:val="superscript"/>
      <w:lang w:val="en-US"/>
    </w:rPr>
  </w:style>
  <w:style w:type="paragraph" w:styleId="FootnoteText">
    <w:name w:val="footnote text"/>
    <w:basedOn w:val="Normal"/>
    <w:link w:val="FootnoteTextChar"/>
    <w:uiPriority w:val="99"/>
    <w:semiHidden/>
    <w:unhideWhenUsed/>
    <w:rsid w:val="00C53439"/>
    <w:pPr>
      <w:spacing w:before="0" w:after="0" w:line="240" w:lineRule="auto"/>
    </w:pPr>
    <w:rPr>
      <w:sz w:val="20"/>
      <w:szCs w:val="20"/>
    </w:rPr>
  </w:style>
  <w:style w:type="character" w:customStyle="1" w:styleId="FootnoteTextChar">
    <w:name w:val="Footnote Text Char"/>
    <w:basedOn w:val="DefaultParagraphFont"/>
    <w:link w:val="FootnoteText"/>
    <w:uiPriority w:val="99"/>
    <w:semiHidden/>
    <w:rsid w:val="00C53439"/>
    <w:rPr>
      <w:rFonts w:ascii="Calibri" w:eastAsia="Calibri" w:hAnsi="Calibri" w:cs="Calibri"/>
      <w:kern w:val="0"/>
      <w:sz w:val="20"/>
      <w:szCs w:val="20"/>
      <w:lang w:val="en"/>
    </w:rPr>
  </w:style>
  <w:style w:type="paragraph" w:styleId="Subtitle">
    <w:name w:val="Subtitle"/>
    <w:basedOn w:val="Normal"/>
    <w:next w:val="Normal"/>
    <w:link w:val="SubtitleChar"/>
    <w:pPr>
      <w:spacing w:before="0" w:line="278" w:lineRule="auto"/>
    </w:pPr>
    <w:rPr>
      <w:color w:val="595959"/>
      <w:sz w:val="28"/>
      <w:szCs w:val="28"/>
    </w:rPr>
  </w:style>
  <w:style w:type="table" w:customStyle="1" w:styleId="a">
    <w:basedOn w:val="TableNormal"/>
    <w:tblPr>
      <w:tblStyleRowBandSize w:val="1"/>
      <w:tblStyleColBandSize w:val="1"/>
      <w:tblInd w:w="0" w:type="dxa"/>
      <w:tblCellMar>
        <w:top w:w="0" w:type="dxa"/>
        <w:left w:w="115" w:type="dxa"/>
        <w:bottom w:w="0" w:type="dxa"/>
        <w:right w:w="115" w:type="dxa"/>
      </w:tblCellMar>
    </w:tblPr>
  </w:style>
  <w:style w:type="table" w:customStyle="1" w:styleId="a0">
    <w:basedOn w:val="TableNormal"/>
    <w:tblPr>
      <w:tblStyleRowBandSize w:val="1"/>
      <w:tblStyleColBandSize w:val="1"/>
      <w:tblInd w:w="0" w:type="dxa"/>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LfXMJVNv7fgVkYX5Li3SP1eQhg==">CgMxLjAyD2lkLnZ1cHo1cHd3enhobTIOaC45eGM5amU5NGtxemQ4AHIhMWg4ZzU2Z3cxYUhYSFFrQ1ktZkxMdHFNd25sLXhwZ0RL</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19</Pages>
  <Words>6791</Words>
  <Characters>38715</Characters>
  <Application>Microsoft Office Word</Application>
  <DocSecurity>0</DocSecurity>
  <Lines>322</Lines>
  <Paragraphs>90</Paragraphs>
  <ScaleCrop>false</ScaleCrop>
  <Company/>
  <LinksUpToDate>false</LinksUpToDate>
  <CharactersWithSpaces>45416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Hà Hoàng Mạnh</dc:creator>
  <cp:lastModifiedBy>HANGTT</cp:lastModifiedBy>
  <cp:revision>2</cp:revision>
  <dcterms:created xsi:type="dcterms:W3CDTF">2025-12-26T03:02:00Z</dcterms:created>
  <dcterms:modified xsi:type="dcterms:W3CDTF">2026-01-14T07:57:00Z</dcterms:modified>
</cp:coreProperties>
</file>